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1303" w14:textId="77777777" w:rsidR="00201D10" w:rsidRDefault="00201D10" w:rsidP="00201D10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pl-PL"/>
        </w:rPr>
      </w:pPr>
    </w:p>
    <w:p w14:paraId="70C84B87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Stan na dzień sporządzenia prospektu informacyjnego </w:t>
      </w:r>
    </w:p>
    <w:p w14:paraId="4F067A8B" w14:textId="77777777" w:rsidR="00201D10" w:rsidRDefault="00201D10" w:rsidP="00201D10">
      <w:pPr>
        <w:widowControl w:val="0"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</w:p>
    <w:p w14:paraId="4698141E" w14:textId="282046AD" w:rsidR="00201D10" w:rsidRDefault="00201D10" w:rsidP="00201D10">
      <w:pPr>
        <w:widowControl w:val="0"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7B2B0F">
        <w:rPr>
          <w:rFonts w:ascii="Times New Roman" w:eastAsia="Times New Roman" w:hAnsi="Times New Roman" w:cs="Times New Roman"/>
          <w:color w:val="000000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</w:t>
      </w:r>
      <w:r w:rsidR="001E7874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1916CC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r.</w:t>
      </w:r>
    </w:p>
    <w:p w14:paraId="534892C5" w14:textId="77777777" w:rsidR="00201D10" w:rsidRDefault="00201D10" w:rsidP="00201D10">
      <w:pPr>
        <w:spacing w:before="144" w:after="144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PROSPEKT INFORMACYJNY </w:t>
      </w:r>
    </w:p>
    <w:p w14:paraId="22338189" w14:textId="77777777" w:rsidR="00201D10" w:rsidRDefault="00201D10" w:rsidP="00201D10">
      <w:pPr>
        <w:spacing w:before="144" w:after="144" w:line="240" w:lineRule="auto"/>
        <w:outlineLvl w:val="0"/>
      </w:pPr>
      <w:r>
        <w:rPr>
          <w:rFonts w:ascii="Times New Roman" w:hAnsi="Times New Roman" w:cs="Times New Roman"/>
          <w:b/>
          <w:sz w:val="20"/>
          <w:szCs w:val="20"/>
        </w:rPr>
        <w:t>CZĘŚĆ OGÓLNA</w:t>
      </w:r>
    </w:p>
    <w:p w14:paraId="2CFD22D0" w14:textId="77777777" w:rsidR="00201D10" w:rsidRDefault="00201D10" w:rsidP="00201D10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62D4854" w14:textId="77777777" w:rsidR="00201D10" w:rsidRDefault="00201D10" w:rsidP="00201D10">
      <w:pPr>
        <w:widowControl w:val="0"/>
        <w:numPr>
          <w:ilvl w:val="0"/>
          <w:numId w:val="2"/>
        </w:numPr>
        <w:spacing w:after="28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DANE IDENTYFIKACYJNE I KONTAKTOWE DOTYCZĄCE DEWELOPERA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2984"/>
        <w:gridCol w:w="3230"/>
        <w:gridCol w:w="3434"/>
      </w:tblGrid>
      <w:tr w:rsidR="00201D10" w14:paraId="65AD1228" w14:textId="77777777" w:rsidTr="00782C0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23C6BED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DEWELOPERA</w:t>
            </w:r>
          </w:p>
          <w:p w14:paraId="3305196C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1D10" w14:paraId="3FBDBD8A" w14:textId="77777777" w:rsidTr="00782C00">
        <w:trPr>
          <w:trHeight w:val="37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B9E852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Deweloper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6C2D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BTP Investment </w:t>
            </w:r>
            <w:r>
              <w:rPr>
                <w:rFonts w:ascii="Times New Roman" w:hAnsi="Times New Roman" w:cs="Arial"/>
                <w:sz w:val="20"/>
                <w:szCs w:val="20"/>
              </w:rPr>
              <w:t>Spółka z ograniczoną odpowiedzialnością</w:t>
            </w:r>
          </w:p>
          <w:p w14:paraId="3350D9BC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en-US"/>
              </w:rPr>
              <w:t>KRS: 0000550148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201D10" w14:paraId="1138BC43" w14:textId="77777777" w:rsidTr="00782C00">
        <w:trPr>
          <w:trHeight w:val="132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1D327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0F8C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ul. Kadetów 20 lok.16, 03-987 Warszawa</w:t>
            </w:r>
          </w:p>
          <w:p w14:paraId="132F1B58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ul. Jana Pawła II, 09-100 Płońsk</w:t>
            </w:r>
          </w:p>
        </w:tc>
      </w:tr>
      <w:tr w:rsidR="00201D10" w14:paraId="1AF8111D" w14:textId="77777777" w:rsidTr="00782C00">
        <w:trPr>
          <w:trHeight w:val="18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89B202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NIP i REGON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0210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NIP 952-213-58-15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D264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REGON 361127809</w:t>
            </w:r>
          </w:p>
        </w:tc>
      </w:tr>
      <w:tr w:rsidR="00201D10" w14:paraId="651E781E" w14:textId="77777777" w:rsidTr="00782C00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B5344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E1E8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573 910 584</w:t>
            </w:r>
          </w:p>
        </w:tc>
      </w:tr>
      <w:tr w:rsidR="00201D10" w14:paraId="6E6C4D74" w14:textId="77777777" w:rsidTr="00782C00">
        <w:trPr>
          <w:trHeight w:val="2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F2F40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CEA4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hyperlink r:id="rId7">
              <w:r>
                <w:rPr>
                  <w:rStyle w:val="czeinternetowe"/>
                  <w:rFonts w:ascii="Times New Roman" w:hAnsi="Times New Roman" w:cs="Arial"/>
                  <w:sz w:val="20"/>
                  <w:szCs w:val="20"/>
                </w:rPr>
                <w:t>b</w:t>
              </w:r>
              <w:r>
                <w:rPr>
                  <w:rStyle w:val="czeinternetowe"/>
                  <w:rFonts w:ascii="Times New Roman" w:hAnsi="Times New Roman" w:cs="Arial"/>
                  <w:szCs w:val="20"/>
                </w:rPr>
                <w:t>iuro@btp-mieszkania.pl</w:t>
              </w:r>
            </w:hyperlink>
          </w:p>
        </w:tc>
      </w:tr>
      <w:tr w:rsidR="00201D10" w14:paraId="5062699F" w14:textId="77777777" w:rsidTr="00782C00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E4604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faksu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C82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D10" w14:paraId="71A73CAA" w14:textId="77777777" w:rsidTr="00782C00">
        <w:trPr>
          <w:trHeight w:val="21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A7ADB9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strony internetowej dewelopera</w:t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201A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hyperlink r:id="rId8">
              <w:r>
                <w:rPr>
                  <w:rStyle w:val="czeinternetowe"/>
                  <w:rFonts w:ascii="Times New Roman" w:hAnsi="Times New Roman" w:cs="Arial"/>
                  <w:color w:val="000000"/>
                  <w:sz w:val="20"/>
                  <w:szCs w:val="20"/>
                </w:rPr>
                <w:t>www.btp-mieszkania.pl</w:t>
              </w:r>
            </w:hyperlink>
          </w:p>
        </w:tc>
      </w:tr>
    </w:tbl>
    <w:p w14:paraId="37CF40F1" w14:textId="77777777" w:rsidR="00201D10" w:rsidRDefault="00201D10" w:rsidP="00201D10">
      <w:pPr>
        <w:widowControl w:val="0"/>
        <w:numPr>
          <w:ilvl w:val="0"/>
          <w:numId w:val="2"/>
        </w:numPr>
        <w:spacing w:before="240" w:after="280" w:line="240" w:lineRule="auto"/>
        <w:ind w:left="10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DOŚWIADCZENIE DEWELOPERA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2803"/>
        <w:gridCol w:w="6845"/>
      </w:tblGrid>
      <w:tr w:rsidR="00201D10" w14:paraId="52556259" w14:textId="77777777" w:rsidTr="00782C00">
        <w:trPr>
          <w:trHeight w:val="704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FB28B5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UDOKUMENTOWANE DOŚWIADCZENIE DEWELOPERA</w:t>
            </w:r>
          </w:p>
        </w:tc>
      </w:tr>
      <w:tr w:rsidR="00201D10" w14:paraId="235A08D0" w14:textId="77777777" w:rsidTr="00782C00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0AACBD2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UKOŃCZONEGO PRZEDSIĘWZIĘCIA DEWELOPERSKIEGO (należy wskazać, o ile istnieją, trzy ukończone przedsięwzięcia deweloperskie, w tym ostatnie)</w:t>
            </w:r>
          </w:p>
        </w:tc>
      </w:tr>
      <w:tr w:rsidR="00201D10" w14:paraId="206D92BD" w14:textId="77777777" w:rsidTr="00782C00">
        <w:trPr>
          <w:trHeight w:val="1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10DF04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72EC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Warszawa, ul. Ogórkowa 65 H – 65 HC</w:t>
            </w:r>
          </w:p>
        </w:tc>
      </w:tr>
      <w:tr w:rsidR="00201D10" w14:paraId="21AF3353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A32FA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09F0" w14:textId="77777777" w:rsidR="00201D10" w:rsidRDefault="00201D10" w:rsidP="00782C00">
            <w:pPr>
              <w:shd w:val="clear" w:color="auto" w:fill="FFFFFF"/>
              <w:tabs>
                <w:tab w:val="left" w:pos="1740"/>
              </w:tabs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13.07.2016r.</w:t>
            </w:r>
          </w:p>
        </w:tc>
      </w:tr>
      <w:tr w:rsidR="00201D10" w14:paraId="4D21A105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50C9A6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BE9F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08.12.2017r.</w:t>
            </w:r>
          </w:p>
        </w:tc>
      </w:tr>
      <w:tr w:rsidR="00201D10" w14:paraId="3A265B53" w14:textId="77777777" w:rsidTr="00782C00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2B0CB1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INNEGO UKOŃCZONEGO PRZEDSIĘWZIĘCIA /DEWELOPERSKIEGO</w:t>
            </w:r>
          </w:p>
          <w:p w14:paraId="7492ADE7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D10" w14:paraId="60F28C21" w14:textId="77777777" w:rsidTr="00782C00">
        <w:trPr>
          <w:trHeight w:val="1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C8A41E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Adres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81C8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Legionowo, ul. Batorego 35, 35A</w:t>
            </w:r>
          </w:p>
        </w:tc>
      </w:tr>
      <w:tr w:rsidR="00201D10" w14:paraId="58FF0160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3F6A9D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DE32" w14:textId="77777777" w:rsidR="00201D10" w:rsidRDefault="00201D10" w:rsidP="00782C00">
            <w:pPr>
              <w:shd w:val="clear" w:color="auto" w:fill="FFFFFF"/>
              <w:tabs>
                <w:tab w:val="left" w:pos="2040"/>
              </w:tabs>
              <w:spacing w:before="30" w:after="0"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20.11.2018r.</w:t>
            </w:r>
          </w:p>
        </w:tc>
      </w:tr>
      <w:tr w:rsidR="00201D10" w14:paraId="44D612BF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9E4983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55BD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19.04.2019r.</w:t>
            </w:r>
          </w:p>
        </w:tc>
      </w:tr>
      <w:tr w:rsidR="00201D10" w14:paraId="70456D4B" w14:textId="77777777" w:rsidTr="00782C00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99F01E" w14:textId="57A03D51" w:rsidR="00201D10" w:rsidRDefault="00201D10" w:rsidP="00782C00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PRZYKŁAD </w:t>
            </w:r>
            <w:r w:rsidR="00250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</w:t>
            </w:r>
            <w:r w:rsidR="006A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UKOŃCZONEGO PRZEDSIĘWZIĘCIA DEWELOPERSKIEGO</w:t>
            </w:r>
          </w:p>
          <w:p w14:paraId="239D9AB9" w14:textId="77777777" w:rsidR="00201D10" w:rsidRDefault="00201D10" w:rsidP="00782C00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D10" w14:paraId="7AE1C46D" w14:textId="77777777" w:rsidTr="00782C00">
        <w:trPr>
          <w:trHeight w:val="1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7EB807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C008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Płońsk, ul. Ks. M. Sarbiewskiego 43</w:t>
            </w:r>
          </w:p>
        </w:tc>
      </w:tr>
      <w:tr w:rsidR="00201D10" w14:paraId="6BE48CB1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2397B6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680D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11.2020r.</w:t>
            </w:r>
          </w:p>
        </w:tc>
      </w:tr>
      <w:tr w:rsidR="00201D10" w14:paraId="5E1A9CFE" w14:textId="77777777" w:rsidTr="00782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F6579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137E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04.2022r.</w:t>
            </w:r>
          </w:p>
        </w:tc>
      </w:tr>
    </w:tbl>
    <w:p w14:paraId="3E059C68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675" w:type="dxa"/>
        <w:tblInd w:w="-5" w:type="dxa"/>
        <w:tblLook w:val="04A0" w:firstRow="1" w:lastRow="0" w:firstColumn="1" w:lastColumn="0" w:noHBand="0" w:noVBand="1"/>
      </w:tblPr>
      <w:tblGrid>
        <w:gridCol w:w="2802"/>
        <w:gridCol w:w="6843"/>
        <w:gridCol w:w="30"/>
      </w:tblGrid>
      <w:tr w:rsidR="00250C30" w14:paraId="6D1C7357" w14:textId="77777777" w:rsidTr="00CD1423">
        <w:trPr>
          <w:trHeight w:val="897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BF9EA7" w14:textId="77777777" w:rsidR="00250C30" w:rsidRDefault="00250C30" w:rsidP="00EE7113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OSTATNIEGO UKOŃCZONEGO PRZEDSIĘWZIĘCIA DEWELOPERSKIEGO</w:t>
            </w:r>
          </w:p>
          <w:p w14:paraId="5A363858" w14:textId="77777777" w:rsidR="00250C30" w:rsidRDefault="00250C30" w:rsidP="00EE711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423" w14:paraId="0FB1B832" w14:textId="77777777" w:rsidTr="00F07566">
        <w:trPr>
          <w:gridAfter w:val="1"/>
          <w:wAfter w:w="30" w:type="dxa"/>
          <w:trHeight w:val="13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234B33" w14:textId="77777777" w:rsidR="00CD1423" w:rsidRDefault="00CD1423" w:rsidP="00EE7113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B918" w14:textId="15FB08FF" w:rsidR="00CD1423" w:rsidRDefault="00CD1423" w:rsidP="00EE7113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Raciąż, ul</w:t>
            </w:r>
            <w:r w:rsidR="00167B10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. Stanisława Konarskiego 5 i 5A</w:t>
            </w:r>
          </w:p>
        </w:tc>
      </w:tr>
      <w:tr w:rsidR="00CD1423" w14:paraId="1A97C669" w14:textId="77777777" w:rsidTr="00F07566">
        <w:trPr>
          <w:gridAfter w:val="1"/>
          <w:wAfter w:w="30" w:type="dxa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F40DE9" w14:textId="77777777" w:rsidR="00CD1423" w:rsidRDefault="00CD1423" w:rsidP="00EE7113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82E1" w14:textId="1A254A2D" w:rsidR="00CD1423" w:rsidRDefault="0036578E" w:rsidP="00EE7113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02</w:t>
            </w:r>
            <w:r w:rsidR="00CD1423">
              <w:rPr>
                <w:rFonts w:ascii="Times New Roman" w:hAnsi="Times New Roman" w:cs="Arial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2</w:t>
            </w:r>
            <w:r w:rsidR="00CD1423">
              <w:rPr>
                <w:rFonts w:ascii="Times New Roman" w:hAnsi="Times New Roman" w:cs="Arial"/>
                <w:color w:val="000000"/>
                <w:sz w:val="20"/>
                <w:szCs w:val="20"/>
              </w:rPr>
              <w:t>r.</w:t>
            </w:r>
          </w:p>
        </w:tc>
      </w:tr>
      <w:tr w:rsidR="00CD1423" w14:paraId="499A3780" w14:textId="77777777" w:rsidTr="00F07566">
        <w:trPr>
          <w:gridAfter w:val="1"/>
          <w:wAfter w:w="30" w:type="dxa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A3675C" w14:textId="77777777" w:rsidR="00CD1423" w:rsidRDefault="00CD1423" w:rsidP="00EE711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1D9F" w14:textId="20C9895D" w:rsidR="00CD1423" w:rsidRDefault="00432145" w:rsidP="00EE7113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06</w:t>
            </w:r>
            <w:r w:rsidR="00CD1423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.202</w:t>
            </w:r>
            <w:r w:rsidR="0032496A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4</w:t>
            </w:r>
            <w:r w:rsidR="00CD1423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r.</w:t>
            </w:r>
          </w:p>
        </w:tc>
      </w:tr>
    </w:tbl>
    <w:p w14:paraId="3C500211" w14:textId="77777777" w:rsidR="00CD1423" w:rsidRDefault="00CD1423" w:rsidP="00CD1423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675" w:type="dxa"/>
        <w:tblInd w:w="-5" w:type="dxa"/>
        <w:tblLook w:val="04A0" w:firstRow="1" w:lastRow="0" w:firstColumn="1" w:lastColumn="0" w:noHBand="0" w:noVBand="1"/>
      </w:tblPr>
      <w:tblGrid>
        <w:gridCol w:w="2800"/>
        <w:gridCol w:w="6875"/>
      </w:tblGrid>
      <w:tr w:rsidR="00F07566" w14:paraId="403FB022" w14:textId="77777777" w:rsidTr="00EE7113">
        <w:trPr>
          <w:trHeight w:val="144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65DD0F" w14:textId="77777777" w:rsidR="00F07566" w:rsidRDefault="00F07566" w:rsidP="00EE7113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5A6B" w14:textId="77777777" w:rsidR="00F07566" w:rsidRDefault="00F07566" w:rsidP="00EE7113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3933123E" w14:textId="77777777" w:rsidR="00201D10" w:rsidRDefault="00201D10" w:rsidP="00201D10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4F97E2" w14:textId="77777777" w:rsidR="00201D10" w:rsidRDefault="00201D10" w:rsidP="00201D10">
      <w:pPr>
        <w:widowControl w:val="0"/>
        <w:numPr>
          <w:ilvl w:val="0"/>
          <w:numId w:val="3"/>
        </w:numPr>
        <w:spacing w:before="280" w:after="120" w:line="240" w:lineRule="auto"/>
        <w:ind w:left="107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2795"/>
        <w:gridCol w:w="3573"/>
        <w:gridCol w:w="3280"/>
      </w:tblGrid>
      <w:tr w:rsidR="00201D10" w14:paraId="20330E55" w14:textId="77777777" w:rsidTr="00782C0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829E4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GRUNTU I ZAGOSPODAROWANIA PRZESTRZENNEGO TERENU</w:t>
            </w:r>
          </w:p>
          <w:p w14:paraId="04FE05D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D10" w14:paraId="13881FBB" w14:textId="77777777" w:rsidTr="00782C00">
        <w:trPr>
          <w:trHeight w:val="13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1B984B4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i numer działki ewidencyjnej i obrębu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1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E594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Płońsk, ul. Świętego Jana Pawła II działki nr. 469/5, 469/6, 468/38</w:t>
            </w:r>
          </w:p>
        </w:tc>
      </w:tr>
      <w:tr w:rsidR="00201D10" w14:paraId="48D86B4F" w14:textId="77777777" w:rsidTr="00782C00">
        <w:trPr>
          <w:trHeight w:val="9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8360EE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19DF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PL1L/00065351/9</w:t>
            </w:r>
          </w:p>
        </w:tc>
      </w:tr>
      <w:tr w:rsidR="00201D10" w14:paraId="0FBC4C1B" w14:textId="77777777" w:rsidTr="00782C00">
        <w:trPr>
          <w:trHeight w:val="9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9993B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Istniejące obciążenia hipoteczne nieruchomości lub wnioski o wpis w dziale czwartym księgi wieczystej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6B8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hipoteki</w:t>
            </w:r>
          </w:p>
        </w:tc>
      </w:tr>
      <w:tr w:rsidR="00201D10" w14:paraId="1FE34055" w14:textId="77777777" w:rsidTr="00782C00">
        <w:trPr>
          <w:trHeight w:val="9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C064BA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braku księgi wieczystej informacja o powierzchni działki i stanie prawnym nieruchomości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2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00E7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Powierzchnia działki 0,5968 ha.</w:t>
            </w:r>
          </w:p>
          <w:p w14:paraId="6C603C69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Brak obciążeń. </w:t>
            </w:r>
          </w:p>
          <w:p w14:paraId="42FA8593" w14:textId="06CF452F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Book Antiqua"/>
                <w:sz w:val="20"/>
                <w:szCs w:val="20"/>
                <w:highlight w:val="white"/>
              </w:rPr>
              <w:t xml:space="preserve">BTP Investment sp. z o.o. wyraża zgodę na wpis, w księdze wieczystej o numerze PL1L/00065351/9, roszczeń nabywców lokali mieszkalnych, wynikających z zawartych umów deweloperskich ze spółką pod </w:t>
            </w:r>
            <w:r w:rsidR="003F6813">
              <w:rPr>
                <w:rFonts w:ascii="Times New Roman" w:eastAsia="Times New Roman" w:hAnsi="Times New Roman" w:cs="Book Antiqua"/>
                <w:sz w:val="20"/>
                <w:szCs w:val="20"/>
                <w:highlight w:val="white"/>
              </w:rPr>
              <w:t>firmą: BTP</w:t>
            </w:r>
            <w:r>
              <w:rPr>
                <w:rFonts w:ascii="Times New Roman" w:eastAsia="Times New Roman" w:hAnsi="Times New Roman" w:cs="Book Antiqua"/>
                <w:sz w:val="20"/>
                <w:szCs w:val="20"/>
                <w:highlight w:val="white"/>
              </w:rPr>
              <w:t xml:space="preserve"> Investment Spółka z ograniczoną odpowiedzialnością z siedzibą w Warszawie.</w:t>
            </w:r>
          </w:p>
        </w:tc>
      </w:tr>
      <w:tr w:rsidR="00201D10" w14:paraId="26E84E8F" w14:textId="77777777" w:rsidTr="00782C00">
        <w:trPr>
          <w:trHeight w:val="9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C27ADE1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obiektów istniejących położonych w sąsiedztwie inwestycji i wpływających na warunki życia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3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4688F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8D02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Tereny zielone, tereny mieszkaniowe o niskiej intensywności zabudowy; budynki mieszkalne jednorodzinne. </w:t>
            </w:r>
          </w:p>
        </w:tc>
      </w:tr>
      <w:tr w:rsidR="00201D10" w14:paraId="6B67C68E" w14:textId="77777777" w:rsidTr="00782C00">
        <w:trPr>
          <w:trHeight w:val="320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1A8CB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14:paraId="4A94BD8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436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>Ramowe studium uwarunkowań i kierunków zagospodarowania przestrzennego związku metropolitalnego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B250" w14:textId="77777777" w:rsidR="00201D10" w:rsidRDefault="00201D10" w:rsidP="00782C00">
            <w:pPr>
              <w:pStyle w:val="Tekstpodstawowy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Uchwała Nr LXXVI/515/2022 Rady Miejskiej w Płońsku z dnia 20 października 2022roku w sprawie uchwalenia Miejscowego Planu Zagospodarowania Przestrzennego Miasta Płońsk dla obszarów położonych w rejonie ul. Płockiej, ul. Szkolnej i ul. Pułtuskiej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 xml:space="preserve"> </w:t>
            </w:r>
          </w:p>
          <w:p w14:paraId="1B8B967C" w14:textId="77777777" w:rsidR="00201D10" w:rsidRDefault="00201D10" w:rsidP="00782C00">
            <w:pPr>
              <w:pStyle w:val="Tekstpodstawowy"/>
              <w:spacing w:before="144" w:after="144" w:line="240" w:lineRule="auto"/>
              <w:rPr>
                <w:rFonts w:eastAsia="Times New Roman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pl-PL"/>
              </w:rPr>
              <w:t>Działki nie znajdują się w strefie rewitalizacji.</w:t>
            </w:r>
          </w:p>
          <w:p w14:paraId="5518CA58" w14:textId="77777777" w:rsidR="00201D10" w:rsidRDefault="00201D10" w:rsidP="00782C00">
            <w:pPr>
              <w:pStyle w:val="Tekstpodstawowy"/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pl-PL"/>
              </w:rPr>
              <w:t>Działki nie są objęte Uproszczonym Planem Urządzenia Lasu.</w:t>
            </w:r>
          </w:p>
          <w:p w14:paraId="33176DC2" w14:textId="77777777" w:rsidR="00201D10" w:rsidRDefault="00201D10" w:rsidP="00782C00">
            <w:pPr>
              <w:pStyle w:val="Tekstpodstawowy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</w:pPr>
          </w:p>
          <w:p w14:paraId="24DA7283" w14:textId="77777777" w:rsidR="00201D10" w:rsidRDefault="00201D10" w:rsidP="00782C00">
            <w:pPr>
              <w:spacing w:after="200" w:line="240" w:lineRule="auto"/>
              <w:contextualSpacing/>
              <w:rPr>
                <w:highlight w:val="white"/>
              </w:rPr>
            </w:pPr>
          </w:p>
        </w:tc>
      </w:tr>
      <w:tr w:rsidR="00201D10" w14:paraId="03E81743" w14:textId="77777777" w:rsidTr="00782C00">
        <w:trPr>
          <w:trHeight w:val="317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3933E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7B7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Studium uwarunkowań i kierunków zagospodarowania przestrzennego gminy</w:t>
            </w: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52F4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79DF6A13" w14:textId="77777777" w:rsidTr="00782C00">
        <w:trPr>
          <w:trHeight w:val="317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D116CA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3F1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2AFF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0C45256E" w14:textId="77777777" w:rsidTr="00782C00">
        <w:trPr>
          <w:trHeight w:val="317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AF55B42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AC4D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B7B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5D6643DF" w14:textId="77777777" w:rsidTr="00782C00">
        <w:trPr>
          <w:trHeight w:val="317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3B9A2AF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F67C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9D87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7B1BCAB0" w14:textId="77777777" w:rsidTr="00782C00">
        <w:trPr>
          <w:trHeight w:val="317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46975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53A1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4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0B9A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158996C1" w14:textId="77777777" w:rsidTr="00782C00">
        <w:trPr>
          <w:trHeight w:val="60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3BC788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Ustalenia obowiązującego miejscowego planu zagospodarowania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przestrzennego dla terenu objętego przedsięwzięciem deweloperskim lub zadaniem inwestycyjnym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62A78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3736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lastRenderedPageBreak/>
              <w:t>Przeznaczenie terenu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FEAA" w14:textId="77777777" w:rsidR="00201D10" w:rsidRDefault="00201D10" w:rsidP="00782C00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Book Antiqua"/>
                <w:sz w:val="20"/>
                <w:szCs w:val="20"/>
                <w:highlight w:val="white"/>
              </w:rPr>
              <w:t xml:space="preserve">Zgodnie planem zagospodarowania przestrzennego dla części Miasta Płońsk, zatwierdzonym </w:t>
            </w:r>
            <w:r>
              <w:rPr>
                <w:highlight w:val="white"/>
              </w:rPr>
              <w:t xml:space="preserve">Uchwałą nr. LXXVI/515/2022 Rady Miejskiej w </w:t>
            </w:r>
            <w:r>
              <w:rPr>
                <w:highlight w:val="white"/>
              </w:rPr>
              <w:lastRenderedPageBreak/>
              <w:t xml:space="preserve">Płońsku z dnia 20 października 2022 roku </w:t>
            </w:r>
            <w:r>
              <w:rPr>
                <w:rFonts w:ascii="Times New Roman" w:hAnsi="Times New Roman" w:cs="Book Antiqua"/>
                <w:sz w:val="20"/>
                <w:szCs w:val="20"/>
                <w:highlight w:val="white"/>
              </w:rPr>
              <w:t xml:space="preserve">działki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469/5, 469/6, 468/38</w:t>
            </w:r>
            <w:r>
              <w:rPr>
                <w:rFonts w:ascii="Times New Roman" w:hAnsi="Times New Roman" w:cs="Book Antiqua"/>
                <w:sz w:val="20"/>
                <w:szCs w:val="20"/>
                <w:highlight w:val="white"/>
              </w:rPr>
              <w:t xml:space="preserve"> są usytuowane w kompleksie zabudowy mieszkaniowej wielorodzinnej oznaczonym symbolem 1MW.</w:t>
            </w:r>
          </w:p>
        </w:tc>
      </w:tr>
      <w:tr w:rsidR="00201D10" w14:paraId="6E374B95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69192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632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DBE3" w14:textId="77777777" w:rsidR="00201D10" w:rsidRDefault="00201D10" w:rsidP="00782C00">
            <w:pPr>
              <w:shd w:val="clear" w:color="auto" w:fill="FFFFFF"/>
              <w:spacing w:after="103"/>
              <w:rPr>
                <w:highlight w:val="yellow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Maksymalny wskaźnik intensywności zabudowy 1,2.</w:t>
            </w:r>
          </w:p>
        </w:tc>
      </w:tr>
      <w:tr w:rsidR="00201D10" w14:paraId="62945954" w14:textId="77777777" w:rsidTr="00782C00">
        <w:trPr>
          <w:trHeight w:val="919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5B9534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D252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52E1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Wysokość nowej zabudowy mieszkaniowej wielorodzinnej max. do 16,0 m .</w:t>
            </w:r>
          </w:p>
        </w:tc>
      </w:tr>
      <w:tr w:rsidR="00201D10" w14:paraId="21F54154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033D251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4F5C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3F7C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Nakaz zachowania nie mniej niż 30% terenu jako biologicznie czynnego.</w:t>
            </w:r>
          </w:p>
        </w:tc>
      </w:tr>
      <w:tr w:rsidR="00201D10" w14:paraId="4A94918C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8D7FFB7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054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F03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 miejsce parkowania na 1mieszkanie.</w:t>
            </w:r>
          </w:p>
        </w:tc>
      </w:tr>
      <w:tr w:rsidR="00201D10" w14:paraId="3FD18D99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A095C8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DF0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641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Obszar objęty gminnym lub miejskim systemem odbioru, odprowadzenia i unieszkodliwienia ścieków sanitarnych.</w:t>
            </w:r>
          </w:p>
          <w:p w14:paraId="3D10928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Obszar objęty gminnym lub miejskim systemem segregacji i unieszkodliwiania odpadów stałych.</w:t>
            </w:r>
          </w:p>
        </w:tc>
      </w:tr>
      <w:tr w:rsidR="00201D10" w14:paraId="0E4D32BA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31F08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9C5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ECD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6E305691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29FC0A5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40D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B20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0F9839BE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F75DB35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54B2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25B4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1173_4305103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  <w:bookmarkEnd w:id="0"/>
          </w:p>
        </w:tc>
      </w:tr>
      <w:tr w:rsidR="00201D10" w14:paraId="2C01F835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DEBEF36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C58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9CC5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Brak informacji </w:t>
            </w:r>
          </w:p>
        </w:tc>
      </w:tr>
      <w:tr w:rsidR="00201D10" w14:paraId="4114C9D6" w14:textId="77777777" w:rsidTr="00782C00">
        <w:trPr>
          <w:trHeight w:val="5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9BDCB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8C6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6A0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</w:t>
            </w:r>
          </w:p>
        </w:tc>
      </w:tr>
      <w:tr w:rsidR="00201D10" w14:paraId="3E3089B4" w14:textId="77777777" w:rsidTr="00782C00">
        <w:trPr>
          <w:trHeight w:val="288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58FDAED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E9B2E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Ustalenia obowiązującego miejscowego planu zagospodarowania przestrzennego dla działek lub ich fragmentów, znajdujących się w odległości do 100 m od granicy terenu objętego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przedsięwzięciem deweloperskim lub zadaniem inwestycyjnym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5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E87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Przeznaczenie terenu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CBE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terenów w strefie MNU plan ustala przeznaczenie podstawowe dla zabudowy mieszkaniowej jednorodzinnej i zabudowy usługowej. Dla terenów w strefie ZN plan ustala przeznaczenie podstawowe dla terenów zieleni nieurządzonej.</w:t>
            </w:r>
          </w:p>
        </w:tc>
      </w:tr>
      <w:tr w:rsidR="00201D10" w14:paraId="5E7C5E8F" w14:textId="77777777" w:rsidTr="00782C00">
        <w:trPr>
          <w:trHeight w:val="288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71F92FC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AA2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ADDA" w14:textId="77777777" w:rsidR="00201D10" w:rsidRDefault="00201D10" w:rsidP="00782C00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Maksymalny wskaźnik intensywności zabudowy 1,2.</w:t>
            </w:r>
          </w:p>
        </w:tc>
      </w:tr>
      <w:tr w:rsidR="00201D10" w14:paraId="19B896A2" w14:textId="77777777" w:rsidTr="00782C00">
        <w:trPr>
          <w:trHeight w:val="288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44700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EC2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B32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Wysokość nowej zabudowy mieszkaniowej i usługowej max. do 12,0 m garaży i budynków gospodarczych 5m, pozostałych obiektów infrastruktury technicznej 12m..</w:t>
            </w:r>
          </w:p>
        </w:tc>
      </w:tr>
      <w:tr w:rsidR="00201D10" w14:paraId="3C44C8AB" w14:textId="77777777" w:rsidTr="00782C00">
        <w:trPr>
          <w:trHeight w:val="288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7773AE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C83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659A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Nakaz zachowania nie mniej niż 30% terenu jako biologicznie czynnego.</w:t>
            </w:r>
          </w:p>
        </w:tc>
      </w:tr>
      <w:tr w:rsidR="00201D10" w14:paraId="50884E32" w14:textId="77777777" w:rsidTr="00782C00">
        <w:trPr>
          <w:trHeight w:val="288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D32E8D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965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52A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Dla zabudowy mieszkaniowej jednorodzinnej po 2 miejsca na 1 samodzielny lokal mieszkalny. </w:t>
            </w:r>
          </w:p>
          <w:p w14:paraId="05ABB77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Dla usług i handlu o powierzchni użytkowej przekraczającej 400m2 7 miejsc na każde 1000m2 powierzchni użytkowej i 1 miejsce na 10 zatrudnionych. </w:t>
            </w:r>
          </w:p>
          <w:p w14:paraId="27AA6F9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usług i handlu o powierzchni użytkowej poniżej 400m2 1 miejsc na każde 100m2 powierzchni użytkowej jednak nie mniej niż 1 miejsce na lokal.</w:t>
            </w:r>
          </w:p>
        </w:tc>
      </w:tr>
      <w:tr w:rsidR="00201D10" w14:paraId="5A106A44" w14:textId="77777777" w:rsidTr="00782C00">
        <w:trPr>
          <w:trHeight w:val="1687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82CB98B" w14:textId="77777777" w:rsidR="00201D10" w:rsidRDefault="00201D10" w:rsidP="00782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14:paraId="06D6DA1F" w14:textId="77777777" w:rsidR="00201D10" w:rsidRDefault="00201D10" w:rsidP="00782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A9BD1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A8D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2537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9C74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Funkcja zabudowy i zagospodarowania terenu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41E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</w:p>
          <w:p w14:paraId="76D3690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</w:p>
          <w:p w14:paraId="2771F6A9" w14:textId="77777777" w:rsidR="00201D10" w:rsidRDefault="00201D10" w:rsidP="00782C00">
            <w:pPr>
              <w:spacing w:before="144" w:after="144" w:line="240" w:lineRule="auto"/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6C90FA8D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2C9875F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2B17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Cechy zabudowy i zagospodarowania terenu:</w:t>
            </w:r>
          </w:p>
        </w:tc>
      </w:tr>
      <w:tr w:rsidR="00201D10" w14:paraId="7D98510D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E8F454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ECC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FD05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783309E6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6A4E51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6E3E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FAD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63EA5B95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0FC4FF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61F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5B0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324B9504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C851E0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C3B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EB16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2A8F7B80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8A09532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515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5172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1A1B97A3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D81A55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755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wymagania dotyczące zabudowy i zagospodarowania terenu położonego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obszarach szczególnego zagrożenia powodzią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756D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lastRenderedPageBreak/>
              <w:t>Zgodnie z planem zagospodarowania przestrzennego.</w:t>
            </w:r>
          </w:p>
        </w:tc>
      </w:tr>
      <w:tr w:rsidR="00201D10" w14:paraId="48F5F2FF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95152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DB0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7AA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1D261BDC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E780AAA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D00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10C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02EE1E54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0779DF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4DA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0FB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1798C260" w14:textId="77777777" w:rsidTr="00782C00">
        <w:trPr>
          <w:trHeight w:val="1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0E2222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CE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528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Zgodnie z planem zagospodarowania przestrzennego.</w:t>
            </w:r>
          </w:p>
        </w:tc>
      </w:tr>
      <w:tr w:rsidR="00201D10" w14:paraId="74510746" w14:textId="77777777" w:rsidTr="00782C00">
        <w:trPr>
          <w:trHeight w:val="73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6596FB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przewidzianych inwestycji w promieniu 1 km od przedmiotowej nieruchomości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6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zawarte w:</w:t>
            </w:r>
          </w:p>
          <w:p w14:paraId="065E02ED" w14:textId="77777777" w:rsidR="00201D10" w:rsidRDefault="00201D10" w:rsidP="00782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F0E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873E" w14:textId="77777777" w:rsidR="00201D10" w:rsidRDefault="00201D10" w:rsidP="00782C00">
            <w:pPr>
              <w:spacing w:before="144" w:after="144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Plan ustala podstawowe przeznaczenie obszarów w granicach planu dla zabudowy o dominującym charakterze miejskim, o funkcjach mieszkaniowych jednorodzinnych, usługowych, komunikacji kolejowej i transportu drogowego, tereny zieleni urządzonej i nieurządzonej a także wszelkich innych funkcji miejskich nie powodujących uciążliwości dla terenów mieszkaniowych.</w:t>
            </w:r>
          </w:p>
        </w:tc>
      </w:tr>
      <w:tr w:rsidR="00201D10" w14:paraId="2F19975C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390F9A5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1A7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studium uwarunkowań i kierunków zagospodarowania przestrzennego gminy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13D0" w14:textId="77777777" w:rsidR="00201D10" w:rsidRDefault="00201D10" w:rsidP="00782C00">
            <w:pPr>
              <w:pStyle w:val="Tekstpodstawowy"/>
              <w:spacing w:before="144" w:after="144" w:line="240" w:lineRule="auto"/>
              <w:rPr>
                <w:highlight w:val="yellow"/>
              </w:rPr>
            </w:pPr>
            <w:r>
              <w:rPr>
                <w:rStyle w:val="Mocnowyrniony"/>
                <w:rFonts w:ascii="Times New Roman" w:eastAsia="Times New Roman" w:hAnsi="Times New Roman" w:cs="Times New Roman"/>
                <w:color w:val="2B2B2B"/>
                <w:sz w:val="20"/>
                <w:szCs w:val="20"/>
                <w:highlight w:val="white"/>
                <w:lang w:eastAsia="pl-PL"/>
              </w:rPr>
              <w:t xml:space="preserve">Na mocy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Uchwały Nr XLIX/387/2017 Rady Miejskiej w Płońsku z dnia 29 czerwca 2017 r., ze zmianami przyjętymi Uchwałą Nr XX/136/2019 Rady Miejskiej w Płońsku z dnia 24 października 2019 r. i Uchwałą Nr LI/368/2021 Rady Miejskiej w Płońsku z dnia 30 września 2021 r</w:t>
            </w:r>
            <w:r>
              <w:rPr>
                <w:rStyle w:val="Mocnowyrniony"/>
                <w:rFonts w:ascii="Times New Roman" w:eastAsia="Times New Roman" w:hAnsi="Times New Roman" w:cs="Times New Roman"/>
                <w:color w:val="2B2B2B"/>
                <w:sz w:val="20"/>
                <w:szCs w:val="20"/>
                <w:highlight w:val="white"/>
                <w:lang w:eastAsia="pl-PL"/>
              </w:rPr>
              <w:t xml:space="preserve"> w sprawie ustaleń studium uwarunkowań i kierunków zagospodarowania przestrzennego Miasta Płońsk.</w:t>
            </w:r>
          </w:p>
          <w:p w14:paraId="26EEB81A" w14:textId="77777777" w:rsidR="00201D10" w:rsidRDefault="00201D10" w:rsidP="00201D10">
            <w:pPr>
              <w:pStyle w:val="Nagwek1"/>
              <w:numPr>
                <w:ilvl w:val="0"/>
                <w:numId w:val="1"/>
              </w:numPr>
              <w:tabs>
                <w:tab w:val="num" w:pos="1080"/>
              </w:tabs>
              <w:spacing w:before="144" w:after="144"/>
              <w:ind w:left="1080" w:hanging="72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highlight w:val="white"/>
              </w:rPr>
              <w:t xml:space="preserve">https://plonsk.pl/212-studium-miasta-plonsk.html </w:t>
            </w:r>
          </w:p>
        </w:tc>
      </w:tr>
      <w:tr w:rsidR="00201D10" w14:paraId="4C5807BD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3D07D11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A414" w14:textId="77777777" w:rsidR="00201D10" w:rsidRDefault="00201D10" w:rsidP="00782C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883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planem zagospodarowania przestrzennego.</w:t>
            </w:r>
          </w:p>
        </w:tc>
      </w:tr>
      <w:tr w:rsidR="00201D10" w14:paraId="33273E81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82DC25D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486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środowiskowych uwarunkowaniach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1A8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planem zagospodarowania przestrzennego.</w:t>
            </w:r>
          </w:p>
        </w:tc>
      </w:tr>
      <w:tr w:rsidR="00201D10" w14:paraId="4531ACC1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3959AB5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BBF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CA2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planem zagospodarowania przestrzennego.</w:t>
            </w:r>
          </w:p>
        </w:tc>
      </w:tr>
      <w:tr w:rsidR="00201D10" w14:paraId="47BC27DB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BD549D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BF1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783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42101446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851CDC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479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9F8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6AC86F7C" w14:textId="77777777" w:rsidTr="00782C00">
        <w:trPr>
          <w:trHeight w:val="7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DE6A289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4B32" w14:textId="77777777" w:rsidR="00201D10" w:rsidRDefault="00201D10" w:rsidP="00782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Ustalenia decyzji w zakresie rozmieszczenia inwestycji celu publicznego, mogące mieć znaczenie dla terenu objętego przedsięwzięciem deweloperskim lub zadaniem inwestycyjnym: </w:t>
            </w:r>
          </w:p>
          <w:p w14:paraId="6AAF8684" w14:textId="77777777" w:rsidR="00201D10" w:rsidRDefault="00201D10" w:rsidP="00782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10" w14:paraId="2EE26768" w14:textId="77777777" w:rsidTr="00782C00">
        <w:trPr>
          <w:trHeight w:val="84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69D9B7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0A1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C835" w14:textId="77777777" w:rsidR="00201D10" w:rsidRDefault="00201D10" w:rsidP="00782C00">
            <w:pPr>
              <w:spacing w:before="144" w:after="144" w:line="240" w:lineRule="auto"/>
              <w:jc w:val="both"/>
            </w:pPr>
            <w:bookmarkStart w:id="1" w:name="__DdeLink__1191_4305103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  <w:bookmarkEnd w:id="1"/>
          </w:p>
        </w:tc>
      </w:tr>
      <w:tr w:rsidR="00201D10" w14:paraId="287FAFBB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EA5C591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1BC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5B70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0E4D5E0F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855CD2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AD7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A65F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6C5CC72D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91E2D3B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0AB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3053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75C42440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E520042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C80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BB02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2C6904B9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0AF9401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B7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16EA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1C4EFC54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3E6EE78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537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4528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4CFAE69D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32F277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91C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245C2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0769CC06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6DE548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E99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88BF" w14:textId="77777777" w:rsidR="00201D10" w:rsidRDefault="00201D10" w:rsidP="00782C00">
            <w:pPr>
              <w:spacing w:before="144" w:after="14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</w:p>
        </w:tc>
      </w:tr>
      <w:tr w:rsidR="00201D10" w14:paraId="27D57B20" w14:textId="77777777" w:rsidTr="00782C00">
        <w:trPr>
          <w:trHeight w:val="81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0C4C458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265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4859" w14:textId="77777777" w:rsidR="00201D10" w:rsidRDefault="00201D10" w:rsidP="00782C00">
            <w:pPr>
              <w:spacing w:before="144" w:after="144" w:line="240" w:lineRule="auto"/>
              <w:jc w:val="both"/>
            </w:pPr>
            <w:bookmarkStart w:id="2" w:name="__DdeLink__1657_262554993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informacji.</w:t>
            </w:r>
            <w:bookmarkEnd w:id="2"/>
          </w:p>
        </w:tc>
      </w:tr>
      <w:tr w:rsidR="00201D10" w14:paraId="11EB461C" w14:textId="77777777" w:rsidTr="00782C00">
        <w:trPr>
          <w:trHeight w:val="39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1554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BUDYNKU</w:t>
            </w:r>
          </w:p>
          <w:p w14:paraId="3691C97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10" w14:paraId="612C39A4" w14:textId="77777777" w:rsidTr="00782C00">
        <w:trPr>
          <w:trHeight w:val="39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9ED4C2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jest pozwolenie na budowę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65E8" w14:textId="77777777" w:rsidR="00201D10" w:rsidRDefault="00201D10" w:rsidP="00782C00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7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6B24" w14:textId="77777777" w:rsidR="00201D10" w:rsidRDefault="00201D10" w:rsidP="00782C00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201D10" w14:paraId="0805DF5D" w14:textId="77777777" w:rsidTr="00782C00">
        <w:trPr>
          <w:trHeight w:val="39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AC224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ostateczne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74CC" w14:textId="77777777" w:rsidR="00201D10" w:rsidRDefault="00201D10" w:rsidP="00782C00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tak*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BE1B" w14:textId="77777777" w:rsidR="00201D10" w:rsidRDefault="00201D10" w:rsidP="00782C00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201D10" w14:paraId="27AF82B5" w14:textId="77777777" w:rsidTr="00782C00">
        <w:trPr>
          <w:trHeight w:val="39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56A62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zaskarżone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4A24" w14:textId="77777777" w:rsidR="00201D10" w:rsidRDefault="00201D10" w:rsidP="00782C00">
            <w:pPr>
              <w:spacing w:before="144" w:after="14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2498" w14:textId="77777777" w:rsidR="00201D10" w:rsidRDefault="00201D10" w:rsidP="00782C00">
            <w:pPr>
              <w:spacing w:before="144" w:after="14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nie*</w:t>
            </w:r>
          </w:p>
        </w:tc>
      </w:tr>
      <w:tr w:rsidR="00201D10" w14:paraId="2C8C6CEF" w14:textId="77777777" w:rsidTr="00782C00">
        <w:trPr>
          <w:trHeight w:val="19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336290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E921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Decyzja nr 249/2023 wydana 04 sierpnia 2023 roku przez Starostę Płońskiego.</w:t>
            </w:r>
          </w:p>
        </w:tc>
      </w:tr>
      <w:tr w:rsidR="00201D10" w14:paraId="304CC533" w14:textId="77777777" w:rsidTr="00782C00">
        <w:trPr>
          <w:trHeight w:val="19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3BCD6A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2503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10" w14:paraId="2F2344EB" w14:textId="77777777" w:rsidTr="00782C00">
        <w:trPr>
          <w:trHeight w:val="19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35F89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zakończenia budowy domu jednorodzinnego 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8224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201D10" w14:paraId="3525C38C" w14:textId="77777777" w:rsidTr="00782C00">
        <w:trPr>
          <w:trHeight w:val="19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717BAC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EC43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18.08.2023r. – 31.01.2026r.</w:t>
            </w:r>
          </w:p>
        </w:tc>
      </w:tr>
      <w:tr w:rsidR="00201D10" w14:paraId="3CCD55A4" w14:textId="77777777" w:rsidTr="00782C00">
        <w:trPr>
          <w:trHeight w:val="325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CB995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C6836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Opis przedsięwzięcia deweloperskiego albo zadania inwestycyjnego</w:t>
            </w:r>
          </w:p>
          <w:p w14:paraId="07AB2C35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AC6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Liczba budynków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636E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</w:tr>
      <w:tr w:rsidR="00201D10" w14:paraId="0B4B71C1" w14:textId="77777777" w:rsidTr="00782C00">
        <w:trPr>
          <w:trHeight w:val="325"/>
        </w:trPr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C5B56E3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01E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Rozmieszczenie budynków na nieruchomości (należy podać minimalny odstęp między budynkami)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DB88" w14:textId="77777777" w:rsidR="00201D10" w:rsidRDefault="00201D10" w:rsidP="00782C00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Dwa budynki mieszkalne wielorodzinne z usługami w parterze, oraz z dwoma garażami podziemnym i komórkami lokatorskimi, oddalony od granicy działki o co najmniej 6m. </w:t>
            </w:r>
            <w:r>
              <w:rPr>
                <w:rFonts w:cs="Calibri"/>
                <w:sz w:val="20"/>
                <w:szCs w:val="20"/>
                <w:highlight w:val="white"/>
              </w:rPr>
              <w:t>Budynek 2 – 3,88m w poziomie parteru (pomiędzy usługami ZL III),</w:t>
            </w:r>
          </w:p>
          <w:p w14:paraId="2419C29B" w14:textId="77777777" w:rsidR="00201D10" w:rsidRDefault="00201D10" w:rsidP="00782C00">
            <w:pPr>
              <w:shd w:val="clear" w:color="auto" w:fill="FFFFFF"/>
              <w:spacing w:after="0" w:line="270" w:lineRule="exact"/>
              <w:rPr>
                <w:rFonts w:ascii="Times New Roman" w:eastAsia="Times New Roman" w:hAnsi="Times New Roman" w:cs="Arial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white"/>
              </w:rPr>
              <w:t>13,98m w poziomie parter do piętra 4 (pomiędzy kondygnacjami mieszkalnymi ZL IV</w:t>
            </w:r>
            <w:r>
              <w:rPr>
                <w:rFonts w:cs="Calibri"/>
                <w:color w:val="CF181E"/>
                <w:sz w:val="20"/>
                <w:szCs w:val="20"/>
                <w:highlight w:val="white"/>
              </w:rPr>
              <w:t>)</w:t>
            </w: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Na działce od strony wschodniej znajdują się wjazdy do garaży. Miejsca przeznaczone do segregacji odpadów zlokalizowane w obrębie brył budynków. Miejsca parkingowe naziemne zlokalizowane po zachodniej i północnej stronie budynku. </w:t>
            </w:r>
          </w:p>
        </w:tc>
      </w:tr>
      <w:tr w:rsidR="00201D10" w14:paraId="250BF57F" w14:textId="77777777" w:rsidTr="00782C00">
        <w:trPr>
          <w:trHeight w:val="48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857AA7D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Sposób pomiaru powierzchni użytkowej lokalu mieszkalnego albo domu jednorodzinnego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7227" w14:textId="77777777" w:rsidR="00201D10" w:rsidRDefault="00201D10" w:rsidP="00782C00">
            <w:pPr>
              <w:shd w:val="clear" w:color="auto" w:fill="FFFFFF"/>
              <w:spacing w:before="30" w:after="0" w:line="270" w:lineRule="exact"/>
              <w:jc w:val="both"/>
              <w:rPr>
                <w:color w:val="FF000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wg normy PN-ISO 9836:2015</w:t>
            </w:r>
          </w:p>
        </w:tc>
      </w:tr>
      <w:tr w:rsidR="00201D10" w14:paraId="2623950D" w14:textId="77777777" w:rsidTr="00782C00"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6D5CCD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Zamierzony sposób i procentowy udział źródeł finansowania przedsięwzięcia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deweloperskiego lub zadania inwestycyjnego</w:t>
            </w:r>
          </w:p>
          <w:p w14:paraId="632168A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4F6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Rodzaj posiadanych środków finansowych – kredyt, środki własne, inne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8EAB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100% środki własne i wpłaty klientów, brak kredytu hipotecznego. Wartość przedsięwzięcia deweloperskiego </w:t>
            </w:r>
          </w:p>
          <w:p w14:paraId="3C2D04F2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25 000 000,00 zł.</w:t>
            </w:r>
          </w:p>
        </w:tc>
      </w:tr>
      <w:tr w:rsidR="00201D10" w14:paraId="6747F880" w14:textId="77777777" w:rsidTr="00782C00"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E19E518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AD9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A54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D10" w14:paraId="1CF8F43C" w14:textId="77777777" w:rsidTr="00782C00">
        <w:trPr>
          <w:trHeight w:val="1481"/>
        </w:trPr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F15379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ochrony nabywców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932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Otwarty mieszkaniowy rachunek powierniczy*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664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Zamknięty mieszkaniowy rachunek powierniczy*</w:t>
            </w:r>
          </w:p>
        </w:tc>
      </w:tr>
      <w:tr w:rsidR="00201D10" w14:paraId="61C2EB12" w14:textId="77777777" w:rsidTr="00782C00"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BE62FD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386F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stawki procentowej, według której jest obliczana kwota składki na Deweloperski Fundusz Gwarancyjny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id="8"/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E0D4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0,45%</w:t>
            </w:r>
          </w:p>
        </w:tc>
      </w:tr>
      <w:tr w:rsidR="00201D10" w14:paraId="60126313" w14:textId="77777777" w:rsidTr="00782C00"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DC10B60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22B0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cs="Arial"/>
                <w:color w:val="000000"/>
              </w:rPr>
            </w:pPr>
          </w:p>
          <w:p w14:paraId="01E5985A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Środki nabywcy uruchomione na rzecz dewelopera po odebraniu kolejnych etapów budowy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, zgodnie z harmonogramem przedsięwzięcia deweloperskiego.</w:t>
            </w:r>
          </w:p>
        </w:tc>
      </w:tr>
      <w:tr w:rsidR="00201D10" w14:paraId="2E7CD5F7" w14:textId="77777777" w:rsidTr="00782C00">
        <w:trPr>
          <w:trHeight w:val="29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6FBA7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instytucji zapewniającej bezpieczeństwo środków nabywcy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C9DC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 Spółdzielczy w Płońsku</w:t>
            </w:r>
          </w:p>
          <w:p w14:paraId="275CCEF8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ul. Płocka 28, 09-100 Płońsk</w:t>
            </w:r>
          </w:p>
        </w:tc>
      </w:tr>
      <w:tr w:rsidR="00201D10" w14:paraId="0487F6DF" w14:textId="77777777" w:rsidTr="00782C00">
        <w:trPr>
          <w:trHeight w:val="48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6291E5B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051" w14:textId="77777777" w:rsidR="00201D10" w:rsidRDefault="00201D10" w:rsidP="00782C00">
            <w:pPr>
              <w:pStyle w:val="Tekstpodstawowy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Zadanie inwestycyjne – Budowa budynku nr 1</w:t>
            </w:r>
          </w:p>
          <w:p w14:paraId="6E109A85" w14:textId="77777777" w:rsidR="00201D10" w:rsidRDefault="00201D10" w:rsidP="00782C00">
            <w:pPr>
              <w:pStyle w:val="Tekstpodstawowy"/>
              <w:rPr>
                <w:b/>
                <w:bCs/>
              </w:rPr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>ETAP  I – 15% - 01.02.2024r.</w:t>
            </w:r>
          </w:p>
          <w:p w14:paraId="0E04CD57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skompletowanie dokumentacji projektowej i uzyskanie stosownych pozwoleń</w:t>
            </w:r>
          </w:p>
          <w:p w14:paraId="6946412B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przygotowanie placu budowy</w:t>
            </w:r>
          </w:p>
          <w:p w14:paraId="473F0229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ogrodzenia tymczasowego</w:t>
            </w:r>
          </w:p>
          <w:p w14:paraId="5742BC2E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wzmocnień i stabilizacji gruntu wraz z dokumentacją</w:t>
            </w:r>
          </w:p>
          <w:p w14:paraId="363A1005" w14:textId="77777777" w:rsidR="00201D10" w:rsidRDefault="00201D10" w:rsidP="00782C00">
            <w:pPr>
              <w:pStyle w:val="Tekstpodstawowy"/>
              <w:rPr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 </w:t>
            </w: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>ETAP II –  10% - 30.04.2024r.</w:t>
            </w:r>
          </w:p>
          <w:p w14:paraId="6C856B74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wykopu</w:t>
            </w:r>
          </w:p>
          <w:p w14:paraId="55782099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płyty fundamentowej i ścian garażu</w:t>
            </w:r>
          </w:p>
          <w:p w14:paraId="7C87774D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 xml:space="preserve">ETAP III – 10% - 31.05.2024r. </w:t>
            </w:r>
          </w:p>
          <w:p w14:paraId="73F8D07C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stropu nad garażem</w:t>
            </w:r>
          </w:p>
          <w:p w14:paraId="2B632DA5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konstrukcja ścian parteru</w:t>
            </w:r>
          </w:p>
          <w:p w14:paraId="16DACB84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konstrukcja stropu wraz z konstrukcją schodów i szachtu windy nad parterem</w:t>
            </w:r>
          </w:p>
          <w:p w14:paraId="62BE3FBF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>ETAP IV – 10% - 30.06.2024r.</w:t>
            </w:r>
          </w:p>
          <w:p w14:paraId="37A07674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konstrukcja ścian kondygnacji II i III</w:t>
            </w:r>
          </w:p>
          <w:p w14:paraId="21ED017B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lastRenderedPageBreak/>
              <w:t>- konstrukcja stropu wraz z konstrukcją schodów i szachtu windy nad II i III kondygnacją</w:t>
            </w:r>
          </w:p>
          <w:p w14:paraId="1C5E8E26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>ETAP V – 15% - 30.09.2024r.</w:t>
            </w:r>
          </w:p>
          <w:p w14:paraId="727FFFB3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konstrukcja ścian kondygnacji IV i V</w:t>
            </w:r>
          </w:p>
          <w:p w14:paraId="33816333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konstrukcja stropu wraz z konstrukcją schodów i szachtu windy nad IV i V kondygnacją</w:t>
            </w:r>
          </w:p>
          <w:p w14:paraId="05C76808" w14:textId="77777777" w:rsidR="00201D10" w:rsidRDefault="00201D10" w:rsidP="00782C00">
            <w:pPr>
              <w:pStyle w:val="Tekstpodstawowy"/>
              <w:spacing w:line="252" w:lineRule="auto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ścian między lokalowych i osłonowych</w:t>
            </w:r>
          </w:p>
          <w:p w14:paraId="4DEEBFD7" w14:textId="77777777" w:rsidR="00201D10" w:rsidRDefault="00201D10" w:rsidP="00782C00">
            <w:pPr>
              <w:pStyle w:val="Tekstpodstawowy"/>
              <w:spacing w:after="160" w:line="252" w:lineRule="auto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izolacji termicznej i wodnej na stropodachu</w:t>
            </w:r>
          </w:p>
          <w:p w14:paraId="5B427924" w14:textId="77777777" w:rsidR="00201D10" w:rsidRDefault="00201D10" w:rsidP="00782C00">
            <w:pPr>
              <w:pStyle w:val="Tekstpodstawowy"/>
              <w:spacing w:after="160" w:line="252" w:lineRule="auto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pionów wentylacji mechanicznej</w:t>
            </w:r>
          </w:p>
          <w:p w14:paraId="202E3259" w14:textId="77777777" w:rsidR="00201D10" w:rsidRDefault="00201D10" w:rsidP="00782C00">
            <w:pPr>
              <w:pStyle w:val="Tekstpodstawowy"/>
              <w:shd w:val="clear" w:color="auto" w:fill="FFFFFF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 xml:space="preserve">ETAP  VI – 10% - 31.12.2024r. </w:t>
            </w:r>
          </w:p>
          <w:p w14:paraId="274E32C3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osadzenie stolarki okiennej</w:t>
            </w:r>
          </w:p>
          <w:p w14:paraId="7DFE1FAE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 xml:space="preserve">- wykonanie instalacji podtynkowych i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podposadzkowych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 xml:space="preserve"> C.O. i wod.-kan.</w:t>
            </w:r>
          </w:p>
          <w:p w14:paraId="191242EF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instalacji podtynkowych elektrycznych</w:t>
            </w:r>
          </w:p>
          <w:p w14:paraId="6C9E93E0" w14:textId="77777777" w:rsidR="00201D10" w:rsidRDefault="00201D10" w:rsidP="00782C00">
            <w:pPr>
              <w:pStyle w:val="Tekstpodstawowy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izolacji termicznej i przeciwwodnej balkonów</w:t>
            </w:r>
          </w:p>
          <w:p w14:paraId="1A9BFC67" w14:textId="77777777" w:rsidR="00201D10" w:rsidRDefault="00201D10" w:rsidP="00782C00">
            <w:pPr>
              <w:pStyle w:val="Tekstpodstawowy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izolacji termicznej stropów w hali garażowej</w:t>
            </w:r>
          </w:p>
          <w:p w14:paraId="6D2EB0FD" w14:textId="77777777" w:rsidR="00201D10" w:rsidRDefault="00201D10" w:rsidP="00782C00">
            <w:pPr>
              <w:pStyle w:val="Tekstpodstawowy"/>
              <w:shd w:val="clear" w:color="auto" w:fill="FFFFFF"/>
              <w:spacing w:before="30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 xml:space="preserve">ETAP VII – 10% - 31.05.2025r. </w:t>
            </w:r>
          </w:p>
          <w:p w14:paraId="3348D53E" w14:textId="77777777" w:rsidR="00201D10" w:rsidRDefault="00201D10" w:rsidP="00782C00">
            <w:pPr>
              <w:pStyle w:val="Tekstpodstawowy"/>
              <w:shd w:val="clear" w:color="auto" w:fill="FFFFFF"/>
              <w:spacing w:before="30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tynków wewnętrznych</w:t>
            </w:r>
          </w:p>
          <w:p w14:paraId="0C2984C4" w14:textId="77777777" w:rsidR="00201D10" w:rsidRDefault="00201D10" w:rsidP="00782C00">
            <w:pPr>
              <w:pStyle w:val="Tekstpodstawowy"/>
              <w:shd w:val="clear" w:color="auto" w:fill="FFFFFF"/>
              <w:spacing w:before="30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montaż balustrad</w:t>
            </w:r>
          </w:p>
          <w:p w14:paraId="2FD7137E" w14:textId="77777777" w:rsidR="00201D10" w:rsidRDefault="00201D10" w:rsidP="00782C00">
            <w:pPr>
              <w:pStyle w:val="Tekstpodstawowy"/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warstw izolacji termicznych i akustycznych oraz posadzek</w:t>
            </w:r>
          </w:p>
          <w:p w14:paraId="69139CC4" w14:textId="77777777" w:rsidR="00201D10" w:rsidRDefault="00201D10" w:rsidP="00782C00">
            <w:pPr>
              <w:pStyle w:val="Tekstpodstawowy"/>
              <w:shd w:val="clear" w:color="auto" w:fill="FFFFFF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 xml:space="preserve">- wykonanie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termoelewacji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 xml:space="preserve"> budynku </w:t>
            </w:r>
          </w:p>
          <w:p w14:paraId="3071FCCC" w14:textId="77777777" w:rsidR="00201D10" w:rsidRDefault="00201D10" w:rsidP="00782C00">
            <w:pPr>
              <w:pStyle w:val="Tekstpodstawowy"/>
              <w:shd w:val="clear" w:color="auto" w:fill="FFFFFF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 xml:space="preserve">ETAP VIII – 10% - 31.12.2025r. </w:t>
            </w:r>
          </w:p>
          <w:p w14:paraId="1FFBDFAD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wykończenia balastowego balkonów i tarasów</w:t>
            </w:r>
          </w:p>
          <w:p w14:paraId="1CC0A0DA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montaż parapetów wewnętrznych</w:t>
            </w:r>
          </w:p>
          <w:p w14:paraId="24E79D18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montaż drzwi do lokali</w:t>
            </w:r>
          </w:p>
          <w:p w14:paraId="648269A6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montaż osprzętu elektrycznego i hydraulicznego</w:t>
            </w:r>
          </w:p>
          <w:p w14:paraId="7A1BED87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montaż windy</w:t>
            </w:r>
          </w:p>
          <w:p w14:paraId="1C744749" w14:textId="77777777" w:rsidR="00201D10" w:rsidRDefault="00201D10" w:rsidP="00782C00">
            <w:pPr>
              <w:pStyle w:val="Tekstpodstawowy"/>
              <w:shd w:val="clear" w:color="auto" w:fill="FFFFFF"/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wykończenie ciągów komunikacyjnych</w:t>
            </w:r>
          </w:p>
          <w:p w14:paraId="33DF7D15" w14:textId="77777777" w:rsidR="00201D10" w:rsidRDefault="00201D10" w:rsidP="00782C00">
            <w:pPr>
              <w:pStyle w:val="Tekstpodstawowy"/>
              <w:shd w:val="clear" w:color="auto" w:fill="FFFFFF"/>
            </w:pPr>
            <w:r>
              <w:rPr>
                <w:rFonts w:ascii="Times New Roman;serif" w:hAnsi="Times New Roman;serif"/>
                <w:b/>
                <w:bCs/>
                <w:color w:val="000000"/>
                <w:sz w:val="20"/>
                <w:highlight w:val="white"/>
              </w:rPr>
              <w:t xml:space="preserve">ETAP IX – 10% - 31.01.2026r. </w:t>
            </w:r>
          </w:p>
          <w:p w14:paraId="1FCE65FF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przyłączy zewnętrznych</w:t>
            </w:r>
          </w:p>
          <w:p w14:paraId="4C2BB988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chodników i parkingów z kostki brukowej</w:t>
            </w:r>
          </w:p>
          <w:p w14:paraId="447984B3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zagospodarowanie terenów zielonych</w:t>
            </w:r>
          </w:p>
          <w:p w14:paraId="04E4AF42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>- wykonanie placu zabaw</w:t>
            </w:r>
          </w:p>
          <w:p w14:paraId="54241D7D" w14:textId="77777777" w:rsidR="00201D10" w:rsidRDefault="00201D10" w:rsidP="00782C00">
            <w:pPr>
              <w:pStyle w:val="Tekstpodstawowy"/>
              <w:shd w:val="clear" w:color="auto" w:fill="FFFFFF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r>
              <w:rPr>
                <w:rFonts w:ascii="Times New Roman;serif" w:hAnsi="Times New Roman;serif"/>
                <w:color w:val="000000"/>
                <w:sz w:val="20"/>
                <w:highlight w:val="white"/>
              </w:rPr>
              <w:t xml:space="preserve">- przeniesienie własności działki </w:t>
            </w:r>
          </w:p>
          <w:p w14:paraId="088C2C31" w14:textId="77777777" w:rsidR="00201D10" w:rsidRDefault="00201D10" w:rsidP="00782C00">
            <w:pPr>
              <w:pStyle w:val="Tekstpodstawowy"/>
              <w:spacing w:after="160" w:line="252" w:lineRule="auto"/>
              <w:rPr>
                <w:rFonts w:ascii="Times New Roman;serif" w:hAnsi="Times New Roman;serif"/>
                <w:color w:val="000000"/>
                <w:sz w:val="20"/>
                <w:highlight w:val="white"/>
              </w:rPr>
            </w:pPr>
            <w:bookmarkStart w:id="3" w:name="_Hlk155516942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</w:rPr>
              <w:t>- skompletowanie dokumentów i formalne przekazanie budynku do użytkowania</w:t>
            </w:r>
            <w:bookmarkEnd w:id="3"/>
          </w:p>
        </w:tc>
      </w:tr>
      <w:tr w:rsidR="00201D10" w14:paraId="33C13BBB" w14:textId="77777777" w:rsidTr="00782C00">
        <w:trPr>
          <w:trHeight w:val="292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F167CC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Dopuszczenie waloryzacji ceny oraz określenie zasad waloryzacji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1890" w14:textId="77777777" w:rsidR="00201D10" w:rsidRDefault="00201D10" w:rsidP="00782C00">
            <w:pPr>
              <w:spacing w:before="144" w:after="144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Brak.</w:t>
            </w:r>
          </w:p>
        </w:tc>
      </w:tr>
      <w:tr w:rsidR="00201D10" w14:paraId="3AC0ACC2" w14:textId="77777777" w:rsidTr="00782C0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1D5299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WARUNKI ODSTĄPIENIA OD UMOWY DEWELOPERSKIEJ LUB UMOWY, O KTÓREJ MOWA W ART. 2 UST. 1 PKT 2, 3 LUB 5 USTAWY Z DNIA 20 MAJA 2021 R. O OCHRONIE PRAW NABYWCY LOKALU MIESZKALNEGO LUB DOMU JEDNORODZINNEGO ORAZ O DEWELOPERSKIM FUNDUSZU GWARANCYJNYM</w:t>
            </w:r>
          </w:p>
          <w:p w14:paraId="5AF66D01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D10" w14:paraId="77B0E175" w14:textId="77777777" w:rsidTr="00782C00">
        <w:trPr>
          <w:trHeight w:val="1512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B06FD0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 opisać, na jakich warunkach można odstąpić od umowy deweloperskiej lub jednej z umów, o których mowa w art. 2 ust. 1 pkt 2, 3 lub 5 ustawy z dnia 20 maja 2021 r. o ochronie praw nabywcy lokalu mieszkalnego lub domu jednorodzinnego oraz o Deweloperskim Funduszu Gwarancyjnym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302A" w14:textId="77777777" w:rsidR="00201D10" w:rsidRDefault="00201D10" w:rsidP="00782C00">
            <w:pPr>
              <w:shd w:val="clear" w:color="auto" w:fill="FFFFFF"/>
              <w:snapToGrid w:val="0"/>
              <w:spacing w:before="30" w:after="0" w:line="270" w:lineRule="exact"/>
              <w:ind w:left="720"/>
              <w:rPr>
                <w:rFonts w:ascii="Times New Roman" w:hAnsi="Times New Roman" w:cs="Arial"/>
                <w:color w:val="FF0000"/>
                <w:sz w:val="20"/>
                <w:szCs w:val="20"/>
              </w:rPr>
            </w:pPr>
          </w:p>
          <w:p w14:paraId="064A9E8B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Warunki odstąpienia od umowy deweloperskiej określone są we wzorze umowy deweloperskiej - Załącznik nr 2.</w:t>
            </w:r>
          </w:p>
        </w:tc>
      </w:tr>
      <w:tr w:rsidR="00201D10" w14:paraId="694826B6" w14:textId="77777777" w:rsidTr="00782C00">
        <w:trPr>
          <w:trHeight w:val="51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630B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INNE INFORMACJE </w:t>
            </w:r>
          </w:p>
        </w:tc>
      </w:tr>
      <w:tr w:rsidR="00201D10" w14:paraId="67E91322" w14:textId="77777777" w:rsidTr="00782C00">
        <w:trPr>
          <w:trHeight w:val="1512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001F77A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 Informacja o:</w:t>
            </w:r>
          </w:p>
          <w:p w14:paraId="367FB141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zgodzie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istnieje; </w:t>
            </w:r>
          </w:p>
          <w:p w14:paraId="5BBFCB5A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 umów, o których mowa w art. 2 ust. 2 ustawy z dnia 20 maja 2021 r. o ochronie praw nabywcy lokalu mieszkalnego lub domu jednorodzinnego oraz o Deweloperskim Funduszu Gwarancyjnym,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 do udzielenia takiej zgody, jeżeli takie obciążenie istnieje, albo 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201D10" w14:paraId="7FE2B1FF" w14:textId="77777777" w:rsidTr="00782C00">
        <w:trPr>
          <w:trHeight w:val="1512"/>
        </w:trPr>
        <w:tc>
          <w:tcPr>
            <w:tcW w:w="964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8FFE94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 Informacja o możliwości zapoznania się w lokalu przedsiębiorstwa przez osobę zainteresowaną zawarciem umowy odpowiednio do zakresu umowy z:</w:t>
            </w:r>
          </w:p>
          <w:p w14:paraId="76265DF0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stanem księgi wieczystej;</w:t>
            </w:r>
          </w:p>
          <w:p w14:paraId="38EEA8DD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14:paraId="36D0F6AF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pozwoleniem na budowę albo zgłoszeniem budowy, o którym mowa w art. 29 ust. 1 pkt 1 ustawy z dnia 7 lipca 1994 r. – Prawo budowlane, do którego organ administracji architektoniczno-budowlanej nie wniósł sprzeciwu; </w:t>
            </w:r>
          </w:p>
          <w:p w14:paraId="09946D98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sprawozdaniem finansowym dewelopera za ostatnie dwa lata, a w przypadku: </w:t>
            </w:r>
          </w:p>
          <w:p w14:paraId="1E3D27C7" w14:textId="77777777" w:rsidR="00201D10" w:rsidRDefault="00201D10" w:rsidP="00782C00">
            <w:pPr>
              <w:widowControl w:val="0"/>
              <w:spacing w:before="144" w:after="144" w:line="240" w:lineRule="auto"/>
              <w:ind w:left="11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prowadzenia działalności przez okres krótszy niż dwa lata – sprawozdaniem finansowym za okres ostatniego roku, </w:t>
            </w:r>
          </w:p>
          <w:p w14:paraId="2B2BC2AE" w14:textId="77777777" w:rsidR="00201D10" w:rsidRDefault="00201D10" w:rsidP="00782C00">
            <w:pPr>
              <w:widowControl w:val="0"/>
              <w:spacing w:before="144" w:after="144" w:line="240" w:lineRule="auto"/>
              <w:ind w:left="11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realizacji inwestycji przez spółkę celową – sprawozdaniem spółki dominującej oraz spółki celowej; </w:t>
            </w:r>
          </w:p>
          <w:p w14:paraId="48D84854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projektem budowlanym;</w:t>
            </w:r>
          </w:p>
          <w:p w14:paraId="2C5BA46B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kopią decyzji o pozwoleniu na użytkowanie budynku;</w:t>
            </w:r>
          </w:p>
          <w:p w14:paraId="52BF77E8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zaświadczeniem o samodzielności lokalu;</w:t>
            </w:r>
          </w:p>
          <w:p w14:paraId="1667F3B9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aktem ustanowienia odrębnej własności lokalu;</w:t>
            </w:r>
          </w:p>
          <w:p w14:paraId="2CFDBE06" w14:textId="77777777" w:rsidR="00201D10" w:rsidRDefault="00201D10" w:rsidP="00201D1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dokumentem potwierdzającym:</w:t>
            </w:r>
          </w:p>
          <w:p w14:paraId="1D6FC067" w14:textId="77777777" w:rsidR="00201D10" w:rsidRDefault="00201D10" w:rsidP="00201D10">
            <w:pPr>
              <w:widowControl w:val="0"/>
              <w:numPr>
                <w:ilvl w:val="0"/>
                <w:numId w:val="5"/>
              </w:numPr>
              <w:spacing w:before="144" w:after="144" w:line="240" w:lineRule="auto"/>
              <w:ind w:left="1163" w:hanging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zobowiązaniem do jej udzielenia, jeżeli takie obciążenie istnieje, albo 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14:paraId="6334E930" w14:textId="77777777" w:rsidR="00201D10" w:rsidRDefault="00201D10" w:rsidP="00201D10">
            <w:pPr>
              <w:widowControl w:val="0"/>
              <w:numPr>
                <w:ilvl w:val="0"/>
                <w:numId w:val="5"/>
              </w:numPr>
              <w:spacing w:before="144" w:after="144" w:line="240" w:lineRule="auto"/>
              <w:ind w:left="1163" w:hanging="42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 umów, o których mowa w art. 2 ust. 2 z dnia 20 maja 2021 r. o ochronie praw nabywcy lokalu mieszkalnego lub domu jednorodzinnego oraz o Deweloperskim Funduszu Gwarancyjnym,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zobowiązaniem do udzielenia takiej zgody, jeżeli takie obciążenie istnieje, albo 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zobowiązaniem do udzielenia takiej zgody, jeżeli takie obciążenie istnieje.</w:t>
            </w:r>
          </w:p>
        </w:tc>
      </w:tr>
      <w:tr w:rsidR="00201D10" w14:paraId="18332349" w14:textId="77777777" w:rsidTr="00782C00">
        <w:trPr>
          <w:trHeight w:val="1512"/>
        </w:trPr>
        <w:tc>
          <w:tcPr>
            <w:tcW w:w="9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827E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III. Informacja:</w:t>
            </w:r>
          </w:p>
          <w:p w14:paraId="6B41E32E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pieniężne zgromadzone w Banku Spółdzielczym w Płońsku,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2020 r. poz. 842).</w:t>
            </w:r>
          </w:p>
          <w:p w14:paraId="59B53985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C8D0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podstawowe o obowiązkowym systemie gwarantowania depozytów:</w:t>
            </w:r>
          </w:p>
          <w:p w14:paraId="176B9DCA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ochrona środków dotyczy sytuacji spełnienia warunku gwarancji wobec Banku Spółdzielczego w Płońsku,</w:t>
            </w:r>
          </w:p>
          <w:p w14:paraId="16910A1B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</w:t>
            </w:r>
          </w:p>
          <w:p w14:paraId="553D585E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limit gwarancyjny przypadający na jednego deponenta to równowartość w złotych 100 000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100 000 euro,</w:t>
            </w:r>
          </w:p>
          <w:p w14:paraId="2D73EE95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      </w:r>
          </w:p>
          <w:p w14:paraId="53949B33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wypłata środków gwarantowanych – co do zasady – następuje w terminie 7 dni roboczych od dnia spełnienia warunku gwarancji wobec banku,</w:t>
            </w:r>
          </w:p>
          <w:p w14:paraId="0712E1E7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wypłata środków gwarantowanych jest dokonywana w złotych,</w:t>
            </w:r>
          </w:p>
          <w:p w14:paraId="7A70FD62" w14:textId="77777777" w:rsidR="00201D10" w:rsidRDefault="00201D10" w:rsidP="00782C00">
            <w:pPr>
              <w:spacing w:before="144" w:after="144" w:line="240" w:lineRule="auto"/>
              <w:ind w:left="313" w:hanging="3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Bank Spółdzielczy w Płońsku korzysta także z następujących znaków towarowych: Bank Spółdzielczy w Płońsku Grupa BPS.</w:t>
            </w:r>
          </w:p>
          <w:p w14:paraId="5BB587B8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Dalsze informacje na temat systemu gwarantowania depozytów można uzyskać na stronie internetowej Bankowego Funduszu Gwarancyjnego: https://www.bfg.pl/.</w:t>
            </w:r>
          </w:p>
          <w:p w14:paraId="5E248611" w14:textId="77777777" w:rsidR="00201D10" w:rsidRDefault="00201D10" w:rsidP="00201D10">
            <w:pPr>
              <w:widowControl w:val="0"/>
              <w:numPr>
                <w:ilvl w:val="0"/>
                <w:numId w:val="3"/>
              </w:numPr>
              <w:tabs>
                <w:tab w:val="left" w:pos="314"/>
                <w:tab w:val="left" w:pos="728"/>
              </w:tabs>
              <w:spacing w:before="144" w:after="144" w:line="240" w:lineRule="auto"/>
              <w:ind w:left="3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Informacja zamieszczana w przypadku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zawarcia umowy mieszkaniowego rachunku powierniczego z oddziałem instytucji kredytowej, o której mowa w art. 4 ust. 1 pkt 18 ustawy z dnia 29 sierpnia 1997 r. – Prawo bankowe (Dz. U. z 2020 r. poz. 1896, 2320 i 2419).</w:t>
            </w:r>
          </w:p>
          <w:p w14:paraId="3A382D6B" w14:textId="77777777" w:rsidR="00201D10" w:rsidRDefault="00201D10" w:rsidP="00782C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Oddział instytucji kredytowej, w rozumieniu art. 4 ust. 1 pkt 18 ustawy z dnia 29 sierpnia 1997 r. – Prawo bankowe jest objęty systemem gwarantowania państwa macierzystego, co oznacza, że nie mają do niego zastosowania przepisy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ustawy z dnia 10 czerwca 2016 r. o Bankowym Funduszu Gwarancyjnym systemie gwarantowania depozytów oraz przymusowej restrukturyzacji.</w:t>
            </w:r>
          </w:p>
        </w:tc>
      </w:tr>
    </w:tbl>
    <w:p w14:paraId="7CDD70F2" w14:textId="77777777" w:rsidR="00201D10" w:rsidRDefault="00201D10" w:rsidP="00201D10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42F46A" w14:textId="77777777" w:rsidR="00201D10" w:rsidRDefault="00201D10" w:rsidP="00201D10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A77420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CZĘŚĆ INDYWIDUALNA</w:t>
      </w:r>
    </w:p>
    <w:p w14:paraId="701EE5DC" w14:textId="77777777" w:rsidR="00201D10" w:rsidRDefault="00201D10" w:rsidP="00201D10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044" w:type="dxa"/>
        <w:tblLook w:val="04A0" w:firstRow="1" w:lastRow="0" w:firstColumn="1" w:lastColumn="0" w:noHBand="0" w:noVBand="1"/>
      </w:tblPr>
      <w:tblGrid>
        <w:gridCol w:w="3064"/>
        <w:gridCol w:w="3065"/>
        <w:gridCol w:w="2915"/>
      </w:tblGrid>
      <w:tr w:rsidR="00201D10" w14:paraId="173EBFB9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651AE3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lokalu mieszkalnego albo domu jednorodzinnego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5AF1" w14:textId="25B4476C" w:rsidR="00201D10" w:rsidRDefault="00174F1B" w:rsidP="00782C00">
            <w:pPr>
              <w:spacing w:before="144" w:after="144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930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E406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zł </w:t>
            </w:r>
            <w:r w:rsidR="00201D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</w:t>
            </w:r>
            <w:r w:rsidR="00201D1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eny różnią się w zależności od powierzchni mieszkań, powierzchni pokoi, ilości pokoi, kondygnacji, nasłonecznienia)</w:t>
            </w:r>
          </w:p>
        </w:tc>
      </w:tr>
      <w:tr w:rsidR="00201D10" w14:paraId="514470DE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DCC8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lokalu mieszkalnego albo domu jednorodzinnego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83AE" w14:textId="5A1A9270" w:rsidR="00201D10" w:rsidRDefault="00201D10" w:rsidP="00782C00">
            <w:pPr>
              <w:spacing w:before="144" w:after="144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m2</w:t>
            </w:r>
          </w:p>
        </w:tc>
      </w:tr>
      <w:tr w:rsidR="00201D10" w14:paraId="1A14C3F3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AD980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powierzchni użytkowej lokalu mieszkalnego albo domu jednorodzinnego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F012" w14:textId="0B1F6F21" w:rsidR="00201D10" w:rsidRDefault="00201D10" w:rsidP="00782C00">
            <w:pPr>
              <w:spacing w:before="144" w:after="144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</w:tr>
      <w:tr w:rsidR="00201D10" w14:paraId="35221929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DF9DA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Termin, do którego nastąpi przeniesienie prawa własności nieruchomości wynikającego z umowy deweloperskiej lub jednej z umów, o których mowa w art. 2 ust. 1 pkt 2, 3 lub 5 lub ust. 2 ustawy z dnia 20 maja 2021 r. o ochronie praw nabywcy lokalu mieszkalnego lub domu jednorodzinnego oraz o Deweloperskim Funduszu Gwarancyjnym 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D8FE" w14:textId="77777777" w:rsidR="00201D10" w:rsidRDefault="00201D10" w:rsidP="00782C00">
            <w:pPr>
              <w:shd w:val="clear" w:color="auto" w:fill="FFFFFF"/>
              <w:snapToGrid w:val="0"/>
              <w:spacing w:before="30" w:after="0" w:line="270" w:lineRule="exact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  <w:p w14:paraId="28CF55FA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  <w:lang w:eastAsia="pl-PL"/>
              </w:rPr>
              <w:t>Do 30.06.2026 r.</w:t>
            </w:r>
          </w:p>
        </w:tc>
      </w:tr>
      <w:tr w:rsidR="00201D10" w14:paraId="2D6C7EC0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2BFC5A" w14:textId="77777777" w:rsidR="00201D10" w:rsidRDefault="00201D10" w:rsidP="00782C00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położenia oraz istotnych cech domu jednorodzinnego albo budynku, w którym ma znajdować się lokal mieszkalny będący przedmiotem umowy rezerwacyjnej albo umowy deweloperskiej, albo umowy, o której mowa w art. 2 ust. 1 pkt 2, 3 lub 5 lub umów, o których mowa w art. 2 ust. 2 ustawy z dnia 21 maja 2021 r. o ochronie praw nabywcy lokalu mieszkalnego lub domu jednorodzinnego oraz o Deweloperskim Funduszu Gwarancyjnym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0D5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>Liczba kondygnacji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C9BF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>5 naziemnych, 1 podziemna</w:t>
            </w:r>
          </w:p>
        </w:tc>
      </w:tr>
      <w:tr w:rsidR="00201D10" w14:paraId="5F5695B5" w14:textId="77777777" w:rsidTr="00782C00">
        <w:trPr>
          <w:trHeight w:val="56"/>
        </w:trPr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4767D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5FA5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3427" w14:textId="77777777" w:rsidR="00201D10" w:rsidRDefault="00201D10" w:rsidP="00782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D10" w14:paraId="231C36DB" w14:textId="77777777" w:rsidTr="00782C00"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BA1CE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26E1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Technologia wykonania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78D5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 xml:space="preserve">Konstrukcja żelbetowa i murowana </w:t>
            </w:r>
          </w:p>
        </w:tc>
      </w:tr>
      <w:tr w:rsidR="00201D10" w14:paraId="754F347D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71413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4DD2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65E2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>Standard Dewelopera - Załącznik nr 4</w:t>
            </w:r>
          </w:p>
        </w:tc>
      </w:tr>
      <w:tr w:rsidR="00201D10" w14:paraId="44C4BFCF" w14:textId="77777777" w:rsidTr="00782C00"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9D91B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53C9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lokali w budynkach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022F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  <w:lang w:eastAsia="pl-PL"/>
              </w:rPr>
              <w:t xml:space="preserve">50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>lokali mieszkalnych, 3 lokale usługowe, 34 komórki lokatorskie i jeden lokal niemieszkalny - wielostanowiskowa hala garażowa</w:t>
            </w:r>
          </w:p>
        </w:tc>
      </w:tr>
      <w:tr w:rsidR="00201D10" w14:paraId="07742523" w14:textId="77777777" w:rsidTr="00782C00"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FF300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6A5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miejsc garażowych i postojowych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82F7" w14:textId="77777777" w:rsidR="00201D10" w:rsidRDefault="00201D10" w:rsidP="00782C00">
            <w:pPr>
              <w:shd w:val="clear" w:color="auto" w:fill="FFFFFF"/>
              <w:tabs>
                <w:tab w:val="left" w:pos="3240"/>
              </w:tabs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>35 miejsc postojowych w hali garażowej i 26 miejsc parkingowych naziemnych przy budynku</w:t>
            </w:r>
          </w:p>
        </w:tc>
      </w:tr>
      <w:tr w:rsidR="00201D10" w14:paraId="068F90AF" w14:textId="77777777" w:rsidTr="00782C00"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DC1564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B6B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>Dostępne media w budynku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7627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energia elektryczna,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woda z sieci wodociągowej,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kanalizacja,</w:t>
            </w:r>
            <w:r>
              <w:rPr>
                <w:rFonts w:eastAsia="Times New Roman" w:cs="Arial"/>
                <w:sz w:val="20"/>
                <w:szCs w:val="20"/>
                <w:highlight w:val="white"/>
              </w:rPr>
              <w:t xml:space="preserve"> zaopatrzenie w energię cieplną z kotłowni gazowej umiejscowionej na dachu,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gaz, telewizja, Internet</w:t>
            </w:r>
          </w:p>
        </w:tc>
      </w:tr>
      <w:tr w:rsidR="00201D10" w14:paraId="2B6140A7" w14:textId="77777777" w:rsidTr="00782C00"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E4D3C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D176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 do drogi publicznej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6D7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201D10" w14:paraId="59CC19DC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FA190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usytuowania lokalu mieszkalnego w budynku, jeżeli przedsięwzięcie deweloperskie albo zadanie inwestycyjne dotyczy lokali mieszkalnych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79D5" w14:textId="5A6095D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Lokal oznaczony roboczo numerem </w:t>
            </w:r>
            <w:r w:rsidR="007D5E63">
              <w:rPr>
                <w:rFonts w:ascii="Times New Roman" w:hAnsi="Times New Roman" w:cs="Arial"/>
                <w:sz w:val="20"/>
                <w:szCs w:val="20"/>
              </w:rPr>
              <w:t>A</w:t>
            </w:r>
            <w:r w:rsidR="009919CE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r w:rsidR="009545C8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szCs w:val="20"/>
              </w:rPr>
              <w:t>usytuowany na</w:t>
            </w:r>
            <w:r w:rsidR="00E851CA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r w:rsidR="009919CE">
              <w:rPr>
                <w:rFonts w:ascii="Times New Roman" w:hAnsi="Times New Roman" w:cs="Arial"/>
                <w:sz w:val="20"/>
                <w:szCs w:val="20"/>
              </w:rPr>
              <w:t>…</w:t>
            </w:r>
            <w:r w:rsidR="00EB2728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r w:rsidR="008D75B9">
              <w:rPr>
                <w:rFonts w:ascii="Times New Roman" w:hAnsi="Times New Roman" w:cs="Arial"/>
                <w:sz w:val="20"/>
                <w:szCs w:val="20"/>
              </w:rPr>
              <w:t>k</w:t>
            </w:r>
            <w:r w:rsidR="00D46DFD">
              <w:rPr>
                <w:rFonts w:ascii="Times New Roman" w:hAnsi="Times New Roman" w:cs="Arial"/>
                <w:sz w:val="20"/>
                <w:szCs w:val="20"/>
              </w:rPr>
              <w:t>ondygnacji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nadziemnej (</w:t>
            </w:r>
            <w:r w:rsidR="009919CE">
              <w:rPr>
                <w:rFonts w:ascii="Times New Roman" w:hAnsi="Times New Roman" w:cs="Arial"/>
                <w:sz w:val="20"/>
                <w:szCs w:val="20"/>
              </w:rPr>
              <w:t>…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piętro ) , </w:t>
            </w:r>
          </w:p>
          <w:p w14:paraId="27B4AFE1" w14:textId="77777777" w:rsidR="00201D10" w:rsidRDefault="00201D10" w:rsidP="00782C00">
            <w:pPr>
              <w:shd w:val="clear" w:color="auto" w:fill="FFFFFF"/>
              <w:spacing w:before="30" w:after="0" w:line="270" w:lineRule="exac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Rzut lokalu stanowi Załącznik nr 1</w:t>
            </w:r>
          </w:p>
        </w:tc>
      </w:tr>
      <w:tr w:rsidR="00201D10" w14:paraId="69AF2266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0905EF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powierzchni użytkowej i układu pomieszczeń oraz zakresu i standardu prac wykończeniowych, do których wykonania zobowiązuje się deweloper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62B7" w14:textId="5108A25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Powierzchnia </w:t>
            </w:r>
            <w:r w:rsidR="009919CE">
              <w:rPr>
                <w:rFonts w:ascii="Times New Roman" w:hAnsi="Times New Roman" w:cs="Arial"/>
                <w:sz w:val="20"/>
                <w:szCs w:val="20"/>
                <w:highlight w:val="white"/>
              </w:rPr>
              <w:t>….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m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.</w:t>
            </w:r>
          </w:p>
          <w:p w14:paraId="5218C57F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Pozostałe informacje wg Załączników nr 1 - Rzut lokalu i </w:t>
            </w:r>
          </w:p>
          <w:p w14:paraId="1B5D69C3" w14:textId="14CFEEF8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 Standard i zakres wykończenia lokalu mieszkalnego </w:t>
            </w:r>
          </w:p>
        </w:tc>
      </w:tr>
      <w:tr w:rsidR="00201D10" w14:paraId="2DDA487D" w14:textId="77777777" w:rsidTr="00782C00">
        <w:trPr>
          <w:trHeight w:val="1035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7849C" w14:textId="77777777" w:rsidR="00201D10" w:rsidRDefault="00201D10" w:rsidP="00782C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wydania zaświadczenia o samodzielności lokalu mieszkalnego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418B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01D10" w14:paraId="68D9FC93" w14:textId="77777777" w:rsidTr="00782C00">
        <w:trPr>
          <w:trHeight w:val="105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BB8D4" w14:textId="77777777" w:rsidR="00201D10" w:rsidRDefault="00201D10" w:rsidP="00782C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ustanowienia odrębnej własności lokalu mieszkalnego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798E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</w:pPr>
          </w:p>
        </w:tc>
      </w:tr>
      <w:tr w:rsidR="00201D10" w14:paraId="2D483D7F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B71E4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lokalu użytkowym nabywanym równocześnie z lokalem mieszkalnym albo domem jednorodzinnym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C161" w14:textId="77777777" w:rsidR="00B02954" w:rsidRDefault="00B02954" w:rsidP="00B02954">
            <w:pPr>
              <w:shd w:val="clear" w:color="auto" w:fill="FFFFFF"/>
              <w:spacing w:before="30" w:after="0" w:line="270" w:lineRule="exact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Miejsce postojowe w hali garażowej  - oznaczone roboczo numerem … usytuowane w 1 kondygnacji podziemnej  - Załącznik nr 6</w:t>
            </w:r>
          </w:p>
          <w:p w14:paraId="24817D15" w14:textId="77777777" w:rsidR="00B02954" w:rsidRDefault="00B02954" w:rsidP="00B02954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Komórka lokatorska usytuowana w hali garażowej- oznaczona roboczo nr …</w:t>
            </w:r>
          </w:p>
          <w:p w14:paraId="71037910" w14:textId="16A8561D" w:rsidR="00B15ABE" w:rsidRPr="00481054" w:rsidRDefault="00B02954" w:rsidP="00B02954">
            <w:pPr>
              <w:shd w:val="clear" w:color="auto" w:fill="FFFFFF"/>
              <w:spacing w:before="30" w:after="0" w:line="270" w:lineRule="exac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pl-PL"/>
              </w:rPr>
              <w:t>Miejsce postojowe naziemne- oznaczone roboczo nr … usytuowane przed budynkiem- Załącznik nr 3</w:t>
            </w:r>
          </w:p>
        </w:tc>
      </w:tr>
      <w:tr w:rsidR="00201D10" w14:paraId="4ED11CAE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6BED27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Cenę lokalu użytkowego albo ułamkowej części własności lokalu użytkowego 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DDF8" w14:textId="35D0ECE7" w:rsidR="00201D10" w:rsidRDefault="009919CE" w:rsidP="00782C00">
            <w:pPr>
              <w:spacing w:before="144" w:after="144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>…</w:t>
            </w:r>
            <w:r w:rsidR="00D202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 xml:space="preserve"> </w:t>
            </w:r>
            <w:r w:rsidR="00201D1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pl-PL"/>
              </w:rPr>
              <w:t>zł</w:t>
            </w:r>
          </w:p>
        </w:tc>
      </w:tr>
      <w:tr w:rsidR="00201D10" w14:paraId="3561B1B0" w14:textId="77777777" w:rsidTr="00782C00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611C8" w14:textId="77777777" w:rsidR="00201D10" w:rsidRDefault="00201D10" w:rsidP="00782C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05F0" w14:textId="77777777" w:rsidR="00201D10" w:rsidRDefault="00201D10" w:rsidP="00782C00">
            <w:pPr>
              <w:shd w:val="clear" w:color="auto" w:fill="FFFFFF"/>
              <w:spacing w:before="30" w:after="0" w:line="270" w:lineRule="exact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  <w:lang w:eastAsia="pl-PL"/>
              </w:rPr>
              <w:t>Do 30.06.2026 r.</w:t>
            </w:r>
          </w:p>
        </w:tc>
      </w:tr>
    </w:tbl>
    <w:p w14:paraId="7FEA7D2F" w14:textId="77777777" w:rsidR="00201D10" w:rsidRDefault="00201D10" w:rsidP="00201D10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D16284" w14:textId="77777777" w:rsidR="00201D10" w:rsidRDefault="00201D10" w:rsidP="00201D10">
      <w:pPr>
        <w:spacing w:before="144" w:after="144"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Podpis osoby upoważnionej do reprezentacji dewelopera</w:t>
      </w:r>
    </w:p>
    <w:p w14:paraId="38BD5844" w14:textId="77777777" w:rsidR="00201D10" w:rsidRDefault="00201D10" w:rsidP="00201D10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…...………………………………….</w:t>
      </w:r>
    </w:p>
    <w:p w14:paraId="52EFFB46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E34EF8" wp14:editId="765961B9">
                <wp:simplePos x="0" y="0"/>
                <wp:positionH relativeFrom="column">
                  <wp:posOffset>-791210</wp:posOffset>
                </wp:positionH>
                <wp:positionV relativeFrom="paragraph">
                  <wp:posOffset>10160</wp:posOffset>
                </wp:positionV>
                <wp:extent cx="7552690" cy="1270"/>
                <wp:effectExtent l="0" t="0" r="0" b="0"/>
                <wp:wrapNone/>
                <wp:docPr id="1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208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10BC1" id="Line 20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2.3pt,.8pt" to="532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" stroked="f" strokeweight=".79mm"/>
            </w:pict>
          </mc:Fallback>
        </mc:AlternateContent>
      </w:r>
    </w:p>
    <w:p w14:paraId="5B878CB6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2E0B9D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807CA5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3AB477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29E9A1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F4D2BB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Załączniki:</w:t>
      </w:r>
    </w:p>
    <w:p w14:paraId="53452979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Rzut kondygnacji z zaznaczeniem lokalu mieszkalnego.</w:t>
      </w:r>
    </w:p>
    <w:p w14:paraId="1F54E31F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Wzór umowy deweloperskiej lub umowy, o której mowa w art. 2 ust. 1 pkt 2, 3 lub 5 ustawy z dnia 20 maja 2021 r. o ochronie praw nabywcy lokalu mieszkalnego lub domu jednorodzinnego oraz o Deweloperskim Funduszu Gwarancyjnym.</w:t>
      </w:r>
    </w:p>
    <w:p w14:paraId="1699DFC6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Szkic koncepcji zagospodarowania terenu inwestycji i jego otoczenia z zaznaczeniem budynku oraz istotnych uwarunkowań lokalizacji inwestycji wynikających z przepisów odrębnych oraz z istniejącego i planowanego stanu użytkowania terenów sąsiednich (np. z funkcji terenu, stref ochronnych, uciążliwości).</w:t>
      </w:r>
    </w:p>
    <w:p w14:paraId="282A7BA8" w14:textId="77777777" w:rsidR="00201D10" w:rsidRDefault="00201D10" w:rsidP="00201D10">
      <w:pPr>
        <w:spacing w:line="240" w:lineRule="exact"/>
        <w:ind w:left="126" w:hanging="2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  4.</w:t>
      </w:r>
      <w:r>
        <w:rPr>
          <w:rFonts w:ascii="Times New Roman" w:hAnsi="Times New Roman" w:cs="Arial"/>
          <w:color w:val="000000"/>
          <w:sz w:val="20"/>
          <w:szCs w:val="20"/>
        </w:rPr>
        <w:t xml:space="preserve"> Standard prac wykończeniowych w części wspólnej budynku.</w:t>
      </w:r>
    </w:p>
    <w:p w14:paraId="00D6B5E0" w14:textId="77777777" w:rsidR="00201D10" w:rsidRDefault="00201D10" w:rsidP="00201D10">
      <w:pPr>
        <w:spacing w:before="144" w:after="144" w:line="240" w:lineRule="exact"/>
        <w:ind w:left="126" w:hanging="228"/>
        <w:jc w:val="both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5. Standard i zakres wykończenia lokalu mieszkalnego.</w:t>
      </w:r>
    </w:p>
    <w:p w14:paraId="480BFDAF" w14:textId="77777777" w:rsidR="00201D10" w:rsidRDefault="00201D10" w:rsidP="00201D10">
      <w:pPr>
        <w:spacing w:before="144" w:after="144" w:line="240" w:lineRule="exact"/>
        <w:ind w:left="126" w:hanging="228"/>
        <w:jc w:val="both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6. Rzut hali garażowej.</w:t>
      </w:r>
    </w:p>
    <w:p w14:paraId="0F0FFBF8" w14:textId="77777777" w:rsidR="00201D10" w:rsidRDefault="00201D10" w:rsidP="00201D1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06EA0B" wp14:editId="4A4DA14E">
                <wp:simplePos x="0" y="0"/>
                <wp:positionH relativeFrom="column">
                  <wp:posOffset>-791210</wp:posOffset>
                </wp:positionH>
                <wp:positionV relativeFrom="paragraph">
                  <wp:posOffset>84455</wp:posOffset>
                </wp:positionV>
                <wp:extent cx="7552690" cy="1270"/>
                <wp:effectExtent l="0" t="0" r="0" b="0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208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4788E" id="Line 19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2.3pt,6.65pt" to="532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" stroked="f" strokeweight=".79mm"/>
            </w:pict>
          </mc:Fallback>
        </mc:AlternateContent>
      </w:r>
    </w:p>
    <w:p w14:paraId="73420C6B" w14:textId="77777777" w:rsidR="00201D10" w:rsidRDefault="00201D10" w:rsidP="00201D10"/>
    <w:p w14:paraId="1F60464B" w14:textId="77777777" w:rsidR="008763E2" w:rsidRDefault="008763E2"/>
    <w:sectPr w:rsidR="008763E2" w:rsidSect="00201D10">
      <w:footerReference w:type="default" r:id="rId9"/>
      <w:footerReference w:type="first" r:id="rId10"/>
      <w:footnotePr>
        <w:numRestart w:val="eachPage"/>
      </w:footnotePr>
      <w:pgSz w:w="11906" w:h="16838"/>
      <w:pgMar w:top="1417" w:right="1417" w:bottom="1417" w:left="1417" w:header="0" w:footer="70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FC2F" w14:textId="77777777" w:rsidR="00162962" w:rsidRDefault="00162962" w:rsidP="00201D10">
      <w:pPr>
        <w:spacing w:after="0" w:line="240" w:lineRule="auto"/>
      </w:pPr>
      <w:r>
        <w:separator/>
      </w:r>
    </w:p>
  </w:endnote>
  <w:endnote w:type="continuationSeparator" w:id="0">
    <w:p w14:paraId="0006F122" w14:textId="77777777" w:rsidR="00162962" w:rsidRDefault="00162962" w:rsidP="0020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1906" w14:textId="77777777" w:rsidR="00201D10" w:rsidRDefault="00201D10">
    <w:pPr>
      <w:pStyle w:val="Stopka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15</w:t>
    </w:r>
    <w:r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DFDD" w14:textId="77777777" w:rsidR="00201D10" w:rsidRDefault="00201D10">
    <w:pPr>
      <w:pStyle w:val="Stopka"/>
      <w:jc w:val="center"/>
    </w:pPr>
  </w:p>
  <w:p w14:paraId="0CDB0F0F" w14:textId="77777777" w:rsidR="00201D10" w:rsidRDefault="00201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4205" w14:textId="77777777" w:rsidR="00162962" w:rsidRDefault="00162962" w:rsidP="00201D10">
      <w:pPr>
        <w:spacing w:after="0" w:line="240" w:lineRule="auto"/>
      </w:pPr>
      <w:r>
        <w:separator/>
      </w:r>
    </w:p>
  </w:footnote>
  <w:footnote w:type="continuationSeparator" w:id="0">
    <w:p w14:paraId="07C6A817" w14:textId="77777777" w:rsidR="00162962" w:rsidRDefault="00162962" w:rsidP="00201D10">
      <w:pPr>
        <w:spacing w:after="0" w:line="240" w:lineRule="auto"/>
      </w:pPr>
      <w:r>
        <w:continuationSeparator/>
      </w:r>
    </w:p>
  </w:footnote>
  <w:footnote w:id="1">
    <w:p w14:paraId="1F320A19" w14:textId="77777777" w:rsidR="00201D10" w:rsidRDefault="00201D10" w:rsidP="00201D1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1)</w:t>
      </w:r>
      <w:r>
        <w:rPr>
          <w:rFonts w:ascii="Times New Roman" w:hAnsi="Times New Roman"/>
          <w:sz w:val="18"/>
          <w:szCs w:val="18"/>
        </w:rPr>
        <w:t>Jeżeli działka nie posiada adresu, należy opisowo określić jej położenie.</w:t>
      </w:r>
    </w:p>
  </w:footnote>
  <w:footnote w:id="2">
    <w:p w14:paraId="5DBA35F9" w14:textId="77777777" w:rsidR="00201D10" w:rsidRDefault="00201D10" w:rsidP="00201D1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2)</w:t>
      </w:r>
      <w:r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14:paraId="4BB589F1" w14:textId="77777777" w:rsidR="00201D10" w:rsidRDefault="00201D10" w:rsidP="00201D1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3)</w:t>
      </w:r>
      <w:r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14:paraId="0E79BF64" w14:textId="77777777" w:rsidR="00201D10" w:rsidRDefault="00201D10" w:rsidP="00201D10">
      <w:pPr>
        <w:spacing w:after="0" w:line="240" w:lineRule="aut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4)</w:t>
      </w:r>
      <w:r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14:paraId="6FB014D3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dokonania rezerwacji obszaru inwestycji (CPK),</w:t>
      </w:r>
    </w:p>
    <w:p w14:paraId="511BD704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lokalizacji inwestycji mieszkaniowej lub inwestycji towarzyszącej,</w:t>
      </w:r>
    </w:p>
    <w:p w14:paraId="341491BD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1427DEF9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14:paraId="58A1ABBB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wyznaczenia obszarów cichych w aglomeracji lub obszarów cichych poza aglomeracją,</w:t>
      </w:r>
    </w:p>
    <w:p w14:paraId="4D460464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utworzenia obszaru ograniczonego użytkowania,</w:t>
      </w:r>
    </w:p>
    <w:p w14:paraId="122359E8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uznania zabytku za pomnik historii,</w:t>
      </w:r>
    </w:p>
    <w:p w14:paraId="713CCA22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14:paraId="442364AD" w14:textId="77777777" w:rsidR="00201D10" w:rsidRDefault="00201D10" w:rsidP="00201D10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</w:pPr>
      <w:r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1CDA1119" w14:textId="77777777" w:rsidR="00201D10" w:rsidRDefault="00201D10" w:rsidP="00201D10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>*</w:t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W przypadku braku miejscowego planu zagospodarowania przestrzennego umieszcza się informację „Brak planu”. </w:t>
      </w:r>
    </w:p>
  </w:footnote>
  <w:footnote w:id="6">
    <w:p w14:paraId="74CEB429" w14:textId="77777777" w:rsidR="00201D10" w:rsidRDefault="00201D10" w:rsidP="00201D1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5)</w:t>
      </w:r>
      <w:r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komunalnych, takich jak: oczyszczalnie ścieków, spalarnie śmieci, wysypiska, cmentarze.</w:t>
      </w:r>
    </w:p>
  </w:footnote>
  <w:footnote w:id="7">
    <w:p w14:paraId="38E27F0F" w14:textId="77777777" w:rsidR="00201D10" w:rsidRDefault="00201D10" w:rsidP="00201D10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Niepotrzebne skreślić. </w:t>
      </w:r>
    </w:p>
  </w:footnote>
  <w:footnote w:id="8">
    <w:p w14:paraId="64312728" w14:textId="77777777" w:rsidR="00201D10" w:rsidRDefault="00201D10" w:rsidP="00201D1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Times New Roman" w:hAnsi="Times New Roman"/>
          <w:sz w:val="18"/>
          <w:szCs w:val="18"/>
        </w:rPr>
        <w:tab/>
        <w:t>6)</w:t>
      </w:r>
      <w:r>
        <w:rPr>
          <w:rFonts w:ascii="Times New Roman" w:hAnsi="Times New Roman"/>
          <w:sz w:val="18"/>
          <w:szCs w:val="18"/>
        </w:rPr>
        <w:t>Zgodnie z art. 49 ust. 6 ustawy z dnia 20 maja 2021r. o ochronie praw nabywcy lokalu mieszkalnego lub domu jednorodzinnego oraz o Deweloperskim Funduszu Gwarancyjnym (Dz. U. Poz. 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 ustawy z dnia 20 maja  o ochronie praw nabywcy lokalu mieszkalnego lub domu jednorodzinnego oraz o Deweloperskim Funduszu Gwarancyjnym.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19C"/>
    <w:multiLevelType w:val="multilevel"/>
    <w:tmpl w:val="F35CA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19AC"/>
    <w:multiLevelType w:val="multilevel"/>
    <w:tmpl w:val="3392D2C6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3D67"/>
    <w:multiLevelType w:val="multilevel"/>
    <w:tmpl w:val="8BD01B9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71E73"/>
    <w:multiLevelType w:val="multilevel"/>
    <w:tmpl w:val="90D49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12343AC"/>
    <w:multiLevelType w:val="multilevel"/>
    <w:tmpl w:val="D6E807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1703E"/>
    <w:multiLevelType w:val="multilevel"/>
    <w:tmpl w:val="9F8C4E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900806">
    <w:abstractNumId w:val="3"/>
  </w:num>
  <w:num w:numId="2" w16cid:durableId="85730894">
    <w:abstractNumId w:val="5"/>
  </w:num>
  <w:num w:numId="3" w16cid:durableId="1595699738">
    <w:abstractNumId w:val="2"/>
  </w:num>
  <w:num w:numId="4" w16cid:durableId="1671523458">
    <w:abstractNumId w:val="1"/>
  </w:num>
  <w:num w:numId="5" w16cid:durableId="901793213">
    <w:abstractNumId w:val="4"/>
  </w:num>
  <w:num w:numId="6" w16cid:durableId="16232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10"/>
    <w:rsid w:val="00007196"/>
    <w:rsid w:val="000761DC"/>
    <w:rsid w:val="00095055"/>
    <w:rsid w:val="00142C88"/>
    <w:rsid w:val="00162962"/>
    <w:rsid w:val="00167B10"/>
    <w:rsid w:val="00174F1B"/>
    <w:rsid w:val="001916CC"/>
    <w:rsid w:val="001E11B5"/>
    <w:rsid w:val="001E7874"/>
    <w:rsid w:val="00201D10"/>
    <w:rsid w:val="00250C30"/>
    <w:rsid w:val="00283C7C"/>
    <w:rsid w:val="00295469"/>
    <w:rsid w:val="0032496A"/>
    <w:rsid w:val="0036578E"/>
    <w:rsid w:val="003F6813"/>
    <w:rsid w:val="00431850"/>
    <w:rsid w:val="00432145"/>
    <w:rsid w:val="00442CBF"/>
    <w:rsid w:val="00481054"/>
    <w:rsid w:val="004930B0"/>
    <w:rsid w:val="00544FAB"/>
    <w:rsid w:val="00555CEC"/>
    <w:rsid w:val="005609AD"/>
    <w:rsid w:val="00580EC1"/>
    <w:rsid w:val="00597CF8"/>
    <w:rsid w:val="005A6643"/>
    <w:rsid w:val="005C68EC"/>
    <w:rsid w:val="005D5DBD"/>
    <w:rsid w:val="00612E9B"/>
    <w:rsid w:val="006A0ECB"/>
    <w:rsid w:val="007006B9"/>
    <w:rsid w:val="007012A0"/>
    <w:rsid w:val="00737F04"/>
    <w:rsid w:val="00790767"/>
    <w:rsid w:val="00791F42"/>
    <w:rsid w:val="00793A82"/>
    <w:rsid w:val="00796DA0"/>
    <w:rsid w:val="007B2B0F"/>
    <w:rsid w:val="007C25E4"/>
    <w:rsid w:val="007C591F"/>
    <w:rsid w:val="007D07FD"/>
    <w:rsid w:val="007D5E63"/>
    <w:rsid w:val="00802FC7"/>
    <w:rsid w:val="008176FA"/>
    <w:rsid w:val="008763E2"/>
    <w:rsid w:val="0087648C"/>
    <w:rsid w:val="008C2FA0"/>
    <w:rsid w:val="008D75B9"/>
    <w:rsid w:val="008F1400"/>
    <w:rsid w:val="009545C8"/>
    <w:rsid w:val="00954991"/>
    <w:rsid w:val="00976BFF"/>
    <w:rsid w:val="009919CE"/>
    <w:rsid w:val="00997E60"/>
    <w:rsid w:val="00A72510"/>
    <w:rsid w:val="00B02954"/>
    <w:rsid w:val="00B15ABE"/>
    <w:rsid w:val="00B26062"/>
    <w:rsid w:val="00C06A0D"/>
    <w:rsid w:val="00C14342"/>
    <w:rsid w:val="00C6370B"/>
    <w:rsid w:val="00CD1423"/>
    <w:rsid w:val="00CE33DB"/>
    <w:rsid w:val="00CE5FF7"/>
    <w:rsid w:val="00CF3EAE"/>
    <w:rsid w:val="00D2028A"/>
    <w:rsid w:val="00D46DFD"/>
    <w:rsid w:val="00D51284"/>
    <w:rsid w:val="00D75B3D"/>
    <w:rsid w:val="00DA4A74"/>
    <w:rsid w:val="00E03FF6"/>
    <w:rsid w:val="00E4068C"/>
    <w:rsid w:val="00E851CA"/>
    <w:rsid w:val="00EB2728"/>
    <w:rsid w:val="00ED2A88"/>
    <w:rsid w:val="00EE5B0F"/>
    <w:rsid w:val="00F07566"/>
    <w:rsid w:val="00F51DDF"/>
    <w:rsid w:val="00F57D9A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D033"/>
  <w15:chartTrackingRefBased/>
  <w15:docId w15:val="{40179022-9504-4804-B274-EC7AF3BF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423"/>
    <w:rPr>
      <w:rFonts w:ascii="Calibri" w:eastAsia="Calibri" w:hAnsi="Calibri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D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D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D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01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D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D10"/>
    <w:rPr>
      <w:b/>
      <w:bCs/>
      <w:smallCaps/>
      <w:color w:val="0F4761" w:themeColor="accent1" w:themeShade="BF"/>
      <w:spacing w:val="5"/>
    </w:rPr>
  </w:style>
  <w:style w:type="character" w:customStyle="1" w:styleId="Zakotwiczenieprzypisudolnego">
    <w:name w:val="Zakotwiczenie przypisu dolnego"/>
    <w:qFormat/>
    <w:rsid w:val="00201D10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201D10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201D10"/>
  </w:style>
  <w:style w:type="character" w:customStyle="1" w:styleId="czeinternetowe">
    <w:name w:val="Łącze internetowe"/>
    <w:basedOn w:val="Domylnaczcionkaakapitu"/>
    <w:uiPriority w:val="99"/>
    <w:unhideWhenUsed/>
    <w:qFormat/>
    <w:rsid w:val="00201D10"/>
    <w:rPr>
      <w:color w:val="467886" w:themeColor="hyperlink"/>
      <w:u w:val="single"/>
    </w:rPr>
  </w:style>
  <w:style w:type="character" w:customStyle="1" w:styleId="Mocnowyrniony">
    <w:name w:val="Mocno wyróżniony"/>
    <w:qFormat/>
    <w:rsid w:val="00201D10"/>
    <w:rPr>
      <w:b/>
      <w:bCs/>
    </w:rPr>
  </w:style>
  <w:style w:type="paragraph" w:styleId="Tekstpodstawowy">
    <w:name w:val="Body Text"/>
    <w:basedOn w:val="Normalny"/>
    <w:link w:val="TekstpodstawowyZnak"/>
    <w:rsid w:val="00201D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01D10"/>
    <w:rPr>
      <w:rFonts w:ascii="Calibri" w:eastAsia="Calibri" w:hAnsi="Calibri" w:cs="Tahoma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rsid w:val="00201D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1D10"/>
    <w:rPr>
      <w:rFonts w:ascii="Calibri" w:eastAsia="Calibri" w:hAnsi="Calibri" w:cs="Tahom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rsid w:val="0020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01D10"/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p-mieszkani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tp-mieszka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3861</Words>
  <Characters>23171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Kurkowski</dc:creator>
  <cp:keywords/>
  <dc:description/>
  <cp:lastModifiedBy>Przemysław Kurkowski</cp:lastModifiedBy>
  <cp:revision>62</cp:revision>
  <dcterms:created xsi:type="dcterms:W3CDTF">2024-07-11T04:30:00Z</dcterms:created>
  <dcterms:modified xsi:type="dcterms:W3CDTF">2025-07-29T11:18:00Z</dcterms:modified>
</cp:coreProperties>
</file>